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0A" w:rsidRPr="00045A0A" w:rsidRDefault="00045A0A" w:rsidP="00045A0A">
      <w:pPr>
        <w:textAlignment w:val="auto"/>
        <w:rPr>
          <w:sz w:val="12"/>
        </w:rPr>
      </w:pPr>
      <w:bookmarkStart w:id="0" w:name="_GoBack"/>
      <w:bookmarkEnd w:id="0"/>
      <w:r w:rsidRPr="00045A0A">
        <w:rPr>
          <w:noProof/>
          <w:lang w:val="it-IT" w:eastAsia="it-IT"/>
        </w:rPr>
        <mc:AlternateContent>
          <mc:Choice Requires="wps">
            <w:drawing>
              <wp:anchor distT="0" distB="0" distL="114300" distR="114300" simplePos="0" relativeHeight="251661312" behindDoc="1" locked="0" layoutInCell="0" allowOverlap="1" wp14:anchorId="22A26294" wp14:editId="4AAC7A91">
                <wp:simplePos x="0" y="0"/>
                <wp:positionH relativeFrom="page">
                  <wp:posOffset>813975</wp:posOffset>
                </wp:positionH>
                <wp:positionV relativeFrom="page">
                  <wp:posOffset>10169397</wp:posOffset>
                </wp:positionV>
                <wp:extent cx="6036097" cy="718834"/>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097" cy="718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A0A" w:rsidRPr="00045A0A" w:rsidRDefault="00045A0A" w:rsidP="00045A0A">
                            <w:pPr>
                              <w:pBdr>
                                <w:top w:val="single" w:sz="4" w:space="1" w:color="auto"/>
                              </w:pBdr>
                              <w:jc w:val="center"/>
                              <w:rPr>
                                <w:rFonts w:ascii="Garamond" w:hAnsi="Garamond"/>
                                <w:b/>
                                <w:sz w:val="20"/>
                              </w:rPr>
                            </w:pPr>
                            <w:r w:rsidRPr="00045A0A">
                              <w:rPr>
                                <w:rFonts w:ascii="Garamond" w:hAnsi="Garamond"/>
                                <w:b/>
                                <w:sz w:val="20"/>
                              </w:rPr>
                              <w:t xml:space="preserve"> — Rue Belliard/Belliardstraat 101 — 1040 Bruxelles/Brussel — BELGIQUE/BELGIË —</w:t>
                            </w:r>
                          </w:p>
                          <w:p w:rsidR="00045A0A" w:rsidRPr="00045A0A" w:rsidRDefault="00045A0A" w:rsidP="00045A0A">
                            <w:pPr>
                              <w:pBdr>
                                <w:top w:val="single" w:sz="4" w:space="1" w:color="auto"/>
                              </w:pBdr>
                              <w:jc w:val="center"/>
                              <w:rPr>
                                <w:rFonts w:ascii="Garamond" w:hAnsi="Garamond"/>
                                <w:b/>
                                <w:sz w:val="20"/>
                              </w:rPr>
                            </w:pPr>
                            <w:r w:rsidRPr="00045A0A">
                              <w:rPr>
                                <w:rFonts w:ascii="Garamond" w:hAnsi="Garamond"/>
                                <w:b/>
                                <w:sz w:val="20"/>
                              </w:rPr>
                              <w:t xml:space="preserve">Tel. +32 22822211 — Fax +32 22822325 — Internet: </w:t>
                            </w:r>
                            <w:hyperlink r:id="rId12" w:history="1">
                              <w:r w:rsidRPr="00045A0A">
                                <w:rPr>
                                  <w:rStyle w:val="Hyperlink"/>
                                  <w:rFonts w:ascii="Garamond" w:hAnsi="Garamond"/>
                                  <w:b/>
                                  <w:sz w:val="20"/>
                                </w:rPr>
                                <w:t>http://www.cor.europa.eu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26294" id="_x0000_t202" coordsize="21600,21600" o:spt="202" path="m,l,21600r21600,l21600,xe">
                <v:stroke joinstyle="miter"/>
                <v:path gradientshapeok="t" o:connecttype="rect"/>
              </v:shapetype>
              <v:shape id="Text Box 2" o:spid="_x0000_s1026" type="#_x0000_t202" style="position:absolute;left:0;text-align:left;margin-left:64.1pt;margin-top:800.75pt;width:475.3pt;height:5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kE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" o:allowincell="f" filled="f" stroked="f">
                <v:textbox>
                  <w:txbxContent>
                    <w:p w:rsidR="00045A0A" w:rsidRPr="00045A0A" w:rsidRDefault="00045A0A" w:rsidP="00045A0A">
                      <w:pPr>
                        <w:pBdr>
                          <w:top w:val="single" w:sz="4" w:space="1" w:color="auto"/>
                        </w:pBdr>
                        <w:jc w:val="center"/>
                        <w:rPr>
                          <w:rFonts w:ascii="Garamond" w:hAnsi="Garamond"/>
                          <w:b/>
                          <w:sz w:val="20"/>
                        </w:rPr>
                      </w:pPr>
                      <w:r w:rsidRPr="00045A0A">
                        <w:rPr>
                          <w:rFonts w:ascii="Garamond" w:hAnsi="Garamond"/>
                          <w:b/>
                          <w:sz w:val="20"/>
                        </w:rPr>
                        <w:t xml:space="preserve"> — Rue Belliard/Belliardstraat 101 — 1040 Bruxelles/Brussel — BELGIQUE/BELGIË —</w:t>
                      </w:r>
                    </w:p>
                    <w:p w:rsidR="00045A0A" w:rsidRPr="00045A0A" w:rsidRDefault="00045A0A" w:rsidP="00045A0A">
                      <w:pPr>
                        <w:pBdr>
                          <w:top w:val="single" w:sz="4" w:space="1" w:color="auto"/>
                        </w:pBdr>
                        <w:jc w:val="center"/>
                        <w:rPr>
                          <w:rFonts w:ascii="Garamond" w:hAnsi="Garamond"/>
                          <w:b/>
                          <w:sz w:val="20"/>
                        </w:rPr>
                      </w:pPr>
                      <w:r w:rsidRPr="00045A0A">
                        <w:rPr>
                          <w:rFonts w:ascii="Garamond" w:hAnsi="Garamond"/>
                          <w:b/>
                          <w:sz w:val="20"/>
                        </w:rPr>
                        <w:t xml:space="preserve">Tel. +32 22822211 — Fax +32 22822325 — Internet: </w:t>
                      </w:r>
                      <w:hyperlink r:id="rId13" w:history="1">
                        <w:r w:rsidRPr="00045A0A">
                          <w:rPr>
                            <w:rStyle w:val="Hyperlink"/>
                            <w:rFonts w:ascii="Garamond" w:hAnsi="Garamond"/>
                            <w:b/>
                            <w:sz w:val="20"/>
                          </w:rPr>
                          <w:t>http://www.cor.europa.eu</w:t>
                        </w:r>
                      </w:hyperlink>
                    </w:p>
                  </w:txbxContent>
                </v:textbox>
                <w10:wrap anchorx="page" anchory="page"/>
              </v:shape>
            </w:pict>
          </mc:Fallback>
        </mc:AlternateContent>
      </w:r>
    </w:p>
    <w:tbl>
      <w:tblPr>
        <w:tblW w:w="0" w:type="auto"/>
        <w:tblLayout w:type="fixed"/>
        <w:tblLook w:val="0000" w:firstRow="0" w:lastRow="0" w:firstColumn="0" w:lastColumn="0" w:noHBand="0" w:noVBand="0"/>
      </w:tblPr>
      <w:tblGrid>
        <w:gridCol w:w="9243"/>
      </w:tblGrid>
      <w:tr w:rsidR="00FA5E7D">
        <w:trPr>
          <w:cantSplit/>
        </w:trPr>
        <w:tc>
          <w:tcPr>
            <w:tcW w:w="9243" w:type="dxa"/>
          </w:tcPr>
          <w:p w:rsidR="00444A98" w:rsidRPr="00045A0A" w:rsidRDefault="00B65DB1" w:rsidP="00D00DE1">
            <w:pPr>
              <w:jc w:val="center"/>
              <w:rPr>
                <w:b/>
                <w:bCs/>
                <w:sz w:val="32"/>
              </w:rPr>
            </w:pPr>
            <w:r w:rsidRPr="00045A0A">
              <w:rPr>
                <w:noProof/>
                <w:sz w:val="32"/>
                <w:lang w:val="it-IT" w:eastAsia="it-IT"/>
              </w:rPr>
              <w:drawing>
                <wp:inline distT="0" distB="0" distL="0" distR="0" wp14:anchorId="5934D1C8" wp14:editId="5A60D7B2">
                  <wp:extent cx="212280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2805" cy="779145"/>
                          </a:xfrm>
                          <a:prstGeom prst="rect">
                            <a:avLst/>
                          </a:prstGeom>
                          <a:noFill/>
                          <a:ln>
                            <a:noFill/>
                          </a:ln>
                        </pic:spPr>
                      </pic:pic>
                    </a:graphicData>
                  </a:graphic>
                </wp:inline>
              </w:drawing>
            </w:r>
          </w:p>
        </w:tc>
      </w:tr>
      <w:tr w:rsidR="00FA5E7D">
        <w:trPr>
          <w:cantSplit/>
        </w:trPr>
        <w:tc>
          <w:tcPr>
            <w:tcW w:w="9243" w:type="dxa"/>
          </w:tcPr>
          <w:p w:rsidR="00444A98" w:rsidRPr="00045A0A" w:rsidRDefault="004F0374" w:rsidP="00D00DE1">
            <w:pPr>
              <w:jc w:val="right"/>
              <w:rPr>
                <w:b/>
                <w:bCs/>
                <w:sz w:val="28"/>
              </w:rPr>
            </w:pPr>
            <w:r w:rsidRPr="00045A0A">
              <w:rPr>
                <w:b/>
                <w:sz w:val="28"/>
              </w:rPr>
              <w:t>COTER-VI/009</w:t>
            </w:r>
          </w:p>
        </w:tc>
      </w:tr>
      <w:tr w:rsidR="00FA5E7D">
        <w:tc>
          <w:tcPr>
            <w:tcW w:w="9243" w:type="dxa"/>
          </w:tcPr>
          <w:p w:rsidR="00444A98" w:rsidRPr="00045A0A" w:rsidRDefault="004F0374" w:rsidP="00D00DE1">
            <w:pPr>
              <w:jc w:val="center"/>
              <w:rPr>
                <w:b/>
                <w:bCs/>
                <w:sz w:val="28"/>
              </w:rPr>
            </w:pPr>
            <w:r w:rsidRPr="00045A0A">
              <w:rPr>
                <w:b/>
                <w:sz w:val="28"/>
              </w:rPr>
              <w:t>6th Commission meeting, 11 December 2015</w:t>
            </w:r>
          </w:p>
        </w:tc>
      </w:tr>
    </w:tbl>
    <w:p w:rsidR="00444A98" w:rsidRPr="00045A0A" w:rsidRDefault="0037273D" w:rsidP="00045A0A">
      <w:pPr>
        <w:textAlignment w:val="auto"/>
      </w:pPr>
      <w:r w:rsidRPr="00045A0A">
        <w:rPr>
          <w:noProof/>
          <w:lang w:val="it-IT" w:eastAsia="it-IT"/>
        </w:rPr>
        <mc:AlternateContent>
          <mc:Choice Requires="wps">
            <w:drawing>
              <wp:anchor distT="0" distB="0" distL="114300" distR="114300" simplePos="0" relativeHeight="251659264" behindDoc="1" locked="0" layoutInCell="0" allowOverlap="1" wp14:anchorId="503FB309" wp14:editId="36C44546">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7A" w:rsidRPr="00045A0A" w:rsidRDefault="00EE2E7A" w:rsidP="00D00DE1">
                            <w:pPr>
                              <w:jc w:val="center"/>
                              <w:rPr>
                                <w:rFonts w:ascii="Arial" w:hAnsi="Arial" w:cs="Arial"/>
                                <w:b/>
                                <w:sz w:val="48"/>
                              </w:rPr>
                            </w:pPr>
                            <w:r w:rsidRPr="00045A0A">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B309" id="Text Box 3" o:spid="_x0000_s1027"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u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TJQZu&#10;uAIAAL8FAAAOAAAAAAAAAAAAAAAAAC4CAABkcnMvZTJvRG9jLnhtbFBLAQItABQABgAIAAAAIQCB&#10;A6l84QAAAA8BAAAPAAAAAAAAAAAAAAAAABIFAABkcnMvZG93bnJldi54bWxQSwUGAAAAAAQABADz&#10;AAAAIAYAAAAA&#10;" o:allowincell="f" filled="f" stroked="f">
                <v:textbox>
                  <w:txbxContent>
                    <w:p w:rsidR="00EE2E7A" w:rsidRPr="00045A0A" w:rsidRDefault="00EE2E7A" w:rsidP="00D00DE1">
                      <w:pPr>
                        <w:jc w:val="center"/>
                        <w:rPr>
                          <w:rFonts w:ascii="Arial" w:hAnsi="Arial" w:cs="Arial"/>
                          <w:b/>
                          <w:sz w:val="48"/>
                        </w:rPr>
                      </w:pPr>
                      <w:r w:rsidRPr="00045A0A">
                        <w:rPr>
                          <w:rFonts w:ascii="Arial" w:hAnsi="Arial" w:cs="Arial"/>
                          <w:b/>
                          <w:sz w:val="48"/>
                        </w:rPr>
                        <w:t>EN</w:t>
                      </w:r>
                    </w:p>
                  </w:txbxContent>
                </v:textbox>
                <w10:wrap anchorx="page" anchory="page"/>
              </v:shape>
            </w:pict>
          </mc:Fallback>
        </mc:AlternateContent>
      </w:r>
    </w:p>
    <w:p w:rsidR="00444A98" w:rsidRPr="00045A0A" w:rsidRDefault="00444A98" w:rsidP="00D00DE1"/>
    <w:p w:rsidR="00444A98" w:rsidRPr="00045A0A" w:rsidRDefault="00444A98" w:rsidP="00D00DE1"/>
    <w:p w:rsidR="00444A98" w:rsidRPr="00045A0A" w:rsidRDefault="00444A98" w:rsidP="00D00DE1"/>
    <w:p w:rsidR="007279F5" w:rsidRPr="00045A0A" w:rsidRDefault="001539C0" w:rsidP="00D00DE1">
      <w:pPr>
        <w:jc w:val="center"/>
        <w:rPr>
          <w:sz w:val="28"/>
        </w:rPr>
      </w:pPr>
      <w:r w:rsidRPr="00045A0A">
        <w:rPr>
          <w:b/>
          <w:sz w:val="28"/>
        </w:rPr>
        <w:t>DRAFT OPINION</w:t>
      </w:r>
      <w:r w:rsidRPr="00045A0A">
        <w:rPr>
          <w:b/>
          <w:sz w:val="28"/>
        </w:rPr>
        <w:br/>
      </w:r>
      <w:r w:rsidRPr="00045A0A">
        <w:rPr>
          <w:b/>
          <w:sz w:val="28"/>
        </w:rPr>
        <w:br/>
      </w:r>
      <w:r w:rsidR="007279F5" w:rsidRPr="00045A0A">
        <w:rPr>
          <w:b/>
          <w:sz w:val="28"/>
        </w:rPr>
        <w:t>Commission for Territorial Cohesion Policy and EU Budget</w:t>
      </w:r>
      <w:r w:rsidR="00444A98" w:rsidRPr="00045A0A">
        <w:rPr>
          <w:b/>
          <w:sz w:val="28"/>
        </w:rPr>
        <w:br/>
      </w:r>
      <w:r w:rsidR="00444A98" w:rsidRPr="00045A0A">
        <w:rPr>
          <w:b/>
          <w:sz w:val="28"/>
        </w:rPr>
        <w:br/>
      </w:r>
      <w:r w:rsidR="007279F5" w:rsidRPr="00045A0A">
        <w:rPr>
          <w:b/>
          <w:sz w:val="28"/>
        </w:rPr>
        <w:t>Indicators for territorial development – GDP and beyond</w:t>
      </w:r>
      <w:r w:rsidR="007279F5" w:rsidRPr="00045A0A">
        <w:rPr>
          <w:sz w:val="28"/>
        </w:rPr>
        <w:t xml:space="preserve"> </w:t>
      </w:r>
    </w:p>
    <w:p w:rsidR="00444A98" w:rsidRPr="00045A0A" w:rsidRDefault="00444A98" w:rsidP="00D00DE1"/>
    <w:p w:rsidR="00444A98" w:rsidRPr="00045A0A" w:rsidRDefault="00444A98" w:rsidP="00D00DE1">
      <w:pPr>
        <w:jc w:val="left"/>
      </w:pPr>
    </w:p>
    <w:p w:rsidR="00444A98" w:rsidRPr="00045A0A" w:rsidRDefault="00444A98" w:rsidP="00D00DE1">
      <w:pPr>
        <w:jc w:val="left"/>
      </w:pPr>
    </w:p>
    <w:p w:rsidR="00444A98" w:rsidRPr="00045A0A" w:rsidRDefault="00444A98" w:rsidP="00D00DE1"/>
    <w:tbl>
      <w:tblPr>
        <w:tblW w:w="0" w:type="auto"/>
        <w:tblLayout w:type="fixed"/>
        <w:tblLook w:val="0000" w:firstRow="0" w:lastRow="0" w:firstColumn="0" w:lastColumn="0" w:noHBand="0" w:noVBand="0"/>
      </w:tblPr>
      <w:tblGrid>
        <w:gridCol w:w="9243"/>
      </w:tblGrid>
      <w:tr w:rsidR="00FA5E7D">
        <w:tc>
          <w:tcPr>
            <w:tcW w:w="9243" w:type="dxa"/>
          </w:tcPr>
          <w:p w:rsidR="00444A98" w:rsidRPr="00F55017" w:rsidRDefault="00444A98" w:rsidP="00D00DE1">
            <w:pPr>
              <w:jc w:val="center"/>
              <w:rPr>
                <w:lang w:val="it-IT"/>
              </w:rPr>
            </w:pPr>
            <w:r w:rsidRPr="00F55017">
              <w:rPr>
                <w:lang w:val="it-IT"/>
              </w:rPr>
              <w:t>_____________</w:t>
            </w:r>
          </w:p>
          <w:p w:rsidR="00444A98" w:rsidRPr="00F55017" w:rsidRDefault="00444A98" w:rsidP="00D00DE1">
            <w:pPr>
              <w:jc w:val="center"/>
              <w:rPr>
                <w:lang w:val="it-IT"/>
              </w:rPr>
            </w:pPr>
          </w:p>
          <w:p w:rsidR="007279F5" w:rsidRPr="00F55017" w:rsidRDefault="00444A98" w:rsidP="00D00DE1">
            <w:pPr>
              <w:jc w:val="center"/>
              <w:rPr>
                <w:lang w:val="it-IT"/>
              </w:rPr>
            </w:pPr>
            <w:r w:rsidRPr="00F55017">
              <w:rPr>
                <w:lang w:val="it-IT"/>
              </w:rPr>
              <w:t>Rapporteur:</w:t>
            </w:r>
            <w:r w:rsidR="00140186" w:rsidRPr="00F55017">
              <w:rPr>
                <w:lang w:val="it-IT"/>
              </w:rPr>
              <w:t xml:space="preserve"> </w:t>
            </w:r>
            <w:r w:rsidR="007279F5" w:rsidRPr="00F55017">
              <w:rPr>
                <w:b/>
                <w:lang w:val="it-IT"/>
              </w:rPr>
              <w:t xml:space="preserve">Catiuscia Marini </w:t>
            </w:r>
            <w:r w:rsidR="007279F5" w:rsidRPr="00F55017">
              <w:rPr>
                <w:lang w:val="it-IT"/>
              </w:rPr>
              <w:t>(IT/PES)</w:t>
            </w:r>
          </w:p>
          <w:p w:rsidR="007279F5" w:rsidRPr="00045A0A" w:rsidRDefault="007279F5" w:rsidP="00D00DE1">
            <w:pPr>
              <w:jc w:val="center"/>
            </w:pPr>
            <w:r w:rsidRPr="00045A0A">
              <w:t>President of the Umbria Region</w:t>
            </w:r>
          </w:p>
          <w:p w:rsidR="00444A98" w:rsidRPr="00045A0A" w:rsidRDefault="00444A98" w:rsidP="00D00DE1">
            <w:pPr>
              <w:jc w:val="center"/>
            </w:pPr>
            <w:r w:rsidRPr="00045A0A">
              <w:t>_____________</w:t>
            </w:r>
            <w:r w:rsidRPr="00045A0A">
              <w:br/>
            </w:r>
          </w:p>
        </w:tc>
      </w:tr>
    </w:tbl>
    <w:p w:rsidR="00444A98" w:rsidRPr="00045A0A" w:rsidRDefault="00444A98" w:rsidP="00D00DE1">
      <w:pPr>
        <w:jc w:val="left"/>
      </w:pPr>
    </w:p>
    <w:p w:rsidR="00444A98" w:rsidRPr="00045A0A" w:rsidRDefault="00444A98" w:rsidP="00D00DE1">
      <w:pPr>
        <w:jc w:val="left"/>
      </w:pPr>
    </w:p>
    <w:p w:rsidR="00444A98" w:rsidRPr="00045A0A" w:rsidRDefault="00444A98" w:rsidP="00D00DE1">
      <w:pPr>
        <w:jc w:val="left"/>
      </w:pPr>
    </w:p>
    <w:p w:rsidR="00444A98" w:rsidRPr="00045A0A" w:rsidRDefault="00444A98" w:rsidP="00D00DE1">
      <w:pPr>
        <w:jc w:val="left"/>
      </w:pPr>
    </w:p>
    <w:p w:rsidR="00444A98" w:rsidRPr="00045A0A" w:rsidRDefault="00444A98" w:rsidP="00D00DE1">
      <w:pPr>
        <w:jc w:val="left"/>
      </w:pPr>
    </w:p>
    <w:p w:rsidR="00444A98" w:rsidRPr="00045A0A" w:rsidRDefault="00444A98" w:rsidP="00D00DE1">
      <w:pPr>
        <w:jc w:val="left"/>
      </w:pPr>
    </w:p>
    <w:p w:rsidR="00444A98" w:rsidRPr="00045A0A" w:rsidRDefault="00444A98" w:rsidP="00D00DE1">
      <w:pPr>
        <w:jc w:val="left"/>
      </w:pPr>
    </w:p>
    <w:p w:rsidR="00444A98" w:rsidRPr="00045A0A" w:rsidRDefault="00444A98" w:rsidP="00D00DE1">
      <w:pPr>
        <w:jc w:val="left"/>
      </w:pPr>
    </w:p>
    <w:p w:rsidR="00444A98" w:rsidRPr="00045A0A" w:rsidRDefault="00444A98" w:rsidP="00D00DE1">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FA5E7D">
        <w:tc>
          <w:tcPr>
            <w:tcW w:w="9243" w:type="dxa"/>
            <w:tcBorders>
              <w:top w:val="single" w:sz="4" w:space="0" w:color="auto"/>
              <w:bottom w:val="single" w:sz="4" w:space="0" w:color="auto"/>
            </w:tcBorders>
          </w:tcPr>
          <w:p w:rsidR="00444A98" w:rsidRPr="00045A0A" w:rsidRDefault="00444A98" w:rsidP="00D00DE1">
            <w:pPr>
              <w:rPr>
                <w:bCs/>
                <w:iCs/>
                <w:color w:val="000000"/>
              </w:rPr>
            </w:pPr>
            <w:r w:rsidRPr="00045A0A">
              <w:rPr>
                <w:color w:val="000000"/>
              </w:rPr>
              <w:t xml:space="preserve">This document will be discussed at the meeting of the </w:t>
            </w:r>
            <w:r w:rsidRPr="00045A0A">
              <w:rPr>
                <w:b/>
                <w:color w:val="000000"/>
              </w:rPr>
              <w:t>Commission for</w:t>
            </w:r>
            <w:r w:rsidR="005775BA" w:rsidRPr="00045A0A">
              <w:rPr>
                <w:b/>
                <w:color w:val="000000"/>
              </w:rPr>
              <w:t xml:space="preserve"> Territorial Cohesion Policy and EU Budget</w:t>
            </w:r>
            <w:r w:rsidRPr="00045A0A">
              <w:rPr>
                <w:b/>
                <w:color w:val="000000"/>
              </w:rPr>
              <w:t xml:space="preserve"> </w:t>
            </w:r>
            <w:r w:rsidRPr="00045A0A">
              <w:rPr>
                <w:color w:val="000000"/>
              </w:rPr>
              <w:t xml:space="preserve">to be held </w:t>
            </w:r>
            <w:r w:rsidR="005775BA" w:rsidRPr="00045A0A">
              <w:rPr>
                <w:b/>
                <w:color w:val="000000"/>
              </w:rPr>
              <w:t>from 11 a.m.</w:t>
            </w:r>
            <w:r w:rsidRPr="00045A0A">
              <w:rPr>
                <w:b/>
                <w:color w:val="000000"/>
              </w:rPr>
              <w:t xml:space="preserve"> to </w:t>
            </w:r>
            <w:r w:rsidR="00F87745" w:rsidRPr="00045A0A">
              <w:rPr>
                <w:b/>
                <w:color w:val="000000"/>
              </w:rPr>
              <w:t>5</w:t>
            </w:r>
            <w:r w:rsidR="005775BA" w:rsidRPr="00045A0A">
              <w:rPr>
                <w:b/>
                <w:color w:val="000000"/>
              </w:rPr>
              <w:t xml:space="preserve"> p.m.</w:t>
            </w:r>
            <w:r w:rsidRPr="00045A0A">
              <w:rPr>
                <w:color w:val="000000"/>
              </w:rPr>
              <w:t xml:space="preserve"> </w:t>
            </w:r>
            <w:r w:rsidRPr="00045A0A">
              <w:rPr>
                <w:b/>
                <w:color w:val="000000"/>
              </w:rPr>
              <w:t xml:space="preserve">on </w:t>
            </w:r>
            <w:r w:rsidR="00CF0F02" w:rsidRPr="00045A0A">
              <w:rPr>
                <w:b/>
                <w:color w:val="000000"/>
              </w:rPr>
              <w:t>Friday 11 December 2015</w:t>
            </w:r>
            <w:r w:rsidRPr="00045A0A">
              <w:rPr>
                <w:color w:val="000000"/>
              </w:rPr>
              <w:t xml:space="preserve">. To allow time for translation, any amendments must be submitted </w:t>
            </w:r>
            <w:r w:rsidRPr="00045A0A">
              <w:t xml:space="preserve">through the online tool for tabling amendments (available on the Members' Portal: </w:t>
            </w:r>
            <w:hyperlink r:id="rId15" w:history="1">
              <w:r w:rsidRPr="00045A0A">
                <w:rPr>
                  <w:rStyle w:val="Hyperlink"/>
                </w:rPr>
                <w:t>http://cor.europa.eu/members</w:t>
              </w:r>
            </w:hyperlink>
            <w:r w:rsidRPr="00045A0A">
              <w:t xml:space="preserve">) </w:t>
            </w:r>
            <w:r w:rsidRPr="00045A0A">
              <w:rPr>
                <w:b/>
                <w:color w:val="000000"/>
              </w:rPr>
              <w:t>no later than 3 p.m.</w:t>
            </w:r>
            <w:r w:rsidRPr="00045A0A">
              <w:rPr>
                <w:b/>
              </w:rPr>
              <w:t xml:space="preserve"> (Brussels time)</w:t>
            </w:r>
            <w:r w:rsidR="00CF0F02" w:rsidRPr="00045A0A">
              <w:rPr>
                <w:b/>
                <w:color w:val="000000"/>
              </w:rPr>
              <w:t xml:space="preserve"> on </w:t>
            </w:r>
            <w:r w:rsidR="000C455D" w:rsidRPr="00045A0A">
              <w:rPr>
                <w:b/>
                <w:color w:val="000000"/>
              </w:rPr>
              <w:t xml:space="preserve">Monday, </w:t>
            </w:r>
            <w:r w:rsidR="00CF0F02" w:rsidRPr="00045A0A">
              <w:rPr>
                <w:b/>
                <w:color w:val="000000"/>
              </w:rPr>
              <w:t>30 November 2015</w:t>
            </w:r>
            <w:r w:rsidRPr="00045A0A">
              <w:t xml:space="preserve">. A user guide is available on </w:t>
            </w:r>
            <w:hyperlink r:id="rId16" w:history="1">
              <w:r w:rsidRPr="00045A0A">
                <w:rPr>
                  <w:rStyle w:val="Hyperlink"/>
                </w:rPr>
                <w:t>http://toad.cor.europa.eu/CORHelp.aspx</w:t>
              </w:r>
            </w:hyperlink>
            <w:r w:rsidRPr="00045A0A">
              <w:t>.</w:t>
            </w:r>
          </w:p>
        </w:tc>
      </w:tr>
    </w:tbl>
    <w:p w:rsidR="00444A98" w:rsidRPr="00045A0A" w:rsidRDefault="00444A98" w:rsidP="00D00DE1"/>
    <w:p w:rsidR="00444A98" w:rsidRPr="00045A0A" w:rsidRDefault="00444A98" w:rsidP="00D00DE1"/>
    <w:p w:rsidR="00444A98" w:rsidRPr="00045A0A" w:rsidRDefault="00444A98" w:rsidP="00D00DE1">
      <w:pPr>
        <w:tabs>
          <w:tab w:val="left" w:pos="440"/>
        </w:tabs>
        <w:ind w:left="440" w:hanging="440"/>
        <w:sectPr w:rsidR="00444A98" w:rsidRPr="00045A0A" w:rsidSect="00045A0A">
          <w:headerReference w:type="even" r:id="rId17"/>
          <w:headerReference w:type="default" r:id="rId18"/>
          <w:footerReference w:type="even" r:id="rId19"/>
          <w:footerReference w:type="default" r:id="rId20"/>
          <w:headerReference w:type="first" r:id="rId21"/>
          <w:footerReference w:type="first" r:id="rId22"/>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00FA5E7D">
        <w:trPr>
          <w:trHeight w:val="12474"/>
        </w:trPr>
        <w:tc>
          <w:tcPr>
            <w:tcW w:w="9243" w:type="dxa"/>
            <w:vAlign w:val="bottom"/>
          </w:tcPr>
          <w:p w:rsidR="00444A98" w:rsidRPr="00045A0A" w:rsidRDefault="00444A98" w:rsidP="00D00DE1">
            <w:pPr>
              <w:rPr>
                <w:u w:val="single"/>
              </w:rPr>
            </w:pPr>
            <w:r w:rsidRPr="00045A0A">
              <w:rPr>
                <w:u w:val="single"/>
              </w:rPr>
              <w:lastRenderedPageBreak/>
              <w:t>Reference document</w:t>
            </w:r>
          </w:p>
          <w:p w:rsidR="00444A98" w:rsidRPr="00045A0A" w:rsidRDefault="00444A98" w:rsidP="00D00DE1"/>
          <w:p w:rsidR="00444A98" w:rsidRPr="00045A0A" w:rsidRDefault="00444A98" w:rsidP="00D00DE1"/>
        </w:tc>
      </w:tr>
    </w:tbl>
    <w:p w:rsidR="00444A98" w:rsidRPr="00045A0A" w:rsidRDefault="00444A98" w:rsidP="00D00DE1"/>
    <w:p w:rsidR="00444A98" w:rsidRPr="00045A0A" w:rsidRDefault="00444A98" w:rsidP="00D00DE1">
      <w:pPr>
        <w:jc w:val="center"/>
        <w:rPr>
          <w:b/>
        </w:rPr>
      </w:pPr>
      <w:r w:rsidRPr="00045A0A">
        <w:rPr>
          <w:b/>
        </w:rPr>
        <w:br w:type="page"/>
      </w:r>
      <w:r w:rsidRPr="00045A0A">
        <w:rPr>
          <w:b/>
        </w:rPr>
        <w:lastRenderedPageBreak/>
        <w:t xml:space="preserve">Draft opinion of the Commission for </w:t>
      </w:r>
      <w:r w:rsidR="008F09CF" w:rsidRPr="00045A0A">
        <w:rPr>
          <w:b/>
        </w:rPr>
        <w:t>Territorial Cohesion Policy and EU Budget</w:t>
      </w:r>
      <w:r w:rsidRPr="00045A0A">
        <w:rPr>
          <w:b/>
        </w:rPr>
        <w:t xml:space="preserve"> – </w:t>
      </w:r>
      <w:r w:rsidR="008F09CF" w:rsidRPr="00045A0A">
        <w:rPr>
          <w:b/>
        </w:rPr>
        <w:t>Indicators for territorial development – GDP and beyond</w:t>
      </w:r>
    </w:p>
    <w:p w:rsidR="00444A98" w:rsidRPr="00045A0A" w:rsidRDefault="00444A98" w:rsidP="00D00DE1"/>
    <w:p w:rsidR="00444A98" w:rsidRPr="00045A0A" w:rsidRDefault="00444A98" w:rsidP="00D00DE1">
      <w:pPr>
        <w:keepNext/>
        <w:numPr>
          <w:ilvl w:val="0"/>
          <w:numId w:val="13"/>
        </w:numPr>
        <w:ind w:left="567" w:hanging="567"/>
        <w:rPr>
          <w:b/>
        </w:rPr>
      </w:pPr>
      <w:r w:rsidRPr="00045A0A">
        <w:rPr>
          <w:b/>
        </w:rPr>
        <w:t>POLICY RECOMMENDATIONS</w:t>
      </w:r>
    </w:p>
    <w:p w:rsidR="00444A98" w:rsidRPr="00045A0A" w:rsidRDefault="00444A98" w:rsidP="00D00DE1">
      <w:pPr>
        <w:keepNext/>
      </w:pPr>
    </w:p>
    <w:p w:rsidR="002613E3" w:rsidRPr="00045A0A" w:rsidRDefault="00444A98" w:rsidP="00D00DE1">
      <w:pPr>
        <w:keepNext/>
        <w:rPr>
          <w:b/>
        </w:rPr>
      </w:pPr>
      <w:r w:rsidRPr="00045A0A">
        <w:rPr>
          <w:b/>
        </w:rPr>
        <w:t>THE COMMITTEE OF THE REGIONS</w:t>
      </w:r>
    </w:p>
    <w:p w:rsidR="00E65935" w:rsidRPr="00045A0A" w:rsidRDefault="00E65935" w:rsidP="00D00DE1">
      <w:pPr>
        <w:rPr>
          <w:b/>
        </w:rPr>
      </w:pPr>
    </w:p>
    <w:p w:rsidR="003A043C" w:rsidRPr="00045A0A" w:rsidRDefault="00671E04" w:rsidP="00D00DE1">
      <w:pPr>
        <w:rPr>
          <w:b/>
        </w:rPr>
      </w:pPr>
      <w:r w:rsidRPr="00045A0A">
        <w:rPr>
          <w:b/>
        </w:rPr>
        <w:t>A political debate on GDP and beyond</w:t>
      </w:r>
    </w:p>
    <w:p w:rsidR="00233D5E" w:rsidRPr="00045A0A" w:rsidRDefault="00233D5E" w:rsidP="00D00DE1"/>
    <w:p w:rsidR="00FB42B9" w:rsidRPr="00045A0A" w:rsidRDefault="003D58A3">
      <w:pPr>
        <w:pStyle w:val="Heading1"/>
        <w:ind w:left="567" w:hanging="567"/>
      </w:pPr>
      <w:r w:rsidRPr="00045A0A">
        <w:t>acknowledges the relevance of</w:t>
      </w:r>
      <w:r w:rsidR="00FB42B9" w:rsidRPr="00045A0A">
        <w:t xml:space="preserve"> a</w:t>
      </w:r>
      <w:r w:rsidRPr="00045A0A">
        <w:t xml:space="preserve"> strategic approach in policy making that defines common goals based on shared values and identifies actions to achieve the targets </w:t>
      </w:r>
      <w:r w:rsidR="00AE30D5" w:rsidRPr="00045A0A">
        <w:t>collectively set.</w:t>
      </w:r>
      <w:r w:rsidR="00A854A6" w:rsidRPr="00045A0A">
        <w:t xml:space="preserve"> In this </w:t>
      </w:r>
      <w:r w:rsidR="00B3514C" w:rsidRPr="00045A0A">
        <w:t xml:space="preserve">way </w:t>
      </w:r>
      <w:r w:rsidR="00A854A6" w:rsidRPr="00045A0A">
        <w:t xml:space="preserve">the opportunities </w:t>
      </w:r>
      <w:r w:rsidR="00B3514C" w:rsidRPr="00045A0A">
        <w:t xml:space="preserve">created </w:t>
      </w:r>
      <w:r w:rsidR="00A854A6" w:rsidRPr="00045A0A">
        <w:t xml:space="preserve">by the </w:t>
      </w:r>
      <w:r w:rsidR="004E2746" w:rsidRPr="00045A0A">
        <w:t xml:space="preserve">mid-term </w:t>
      </w:r>
      <w:r w:rsidR="00A854A6" w:rsidRPr="00045A0A">
        <w:t xml:space="preserve">review of the Europe 2020 strategy </w:t>
      </w:r>
      <w:r w:rsidR="002229BF" w:rsidRPr="00045A0A">
        <w:t xml:space="preserve">will </w:t>
      </w:r>
      <w:r w:rsidR="00A854A6" w:rsidRPr="00045A0A">
        <w:t>not be missed</w:t>
      </w:r>
      <w:r w:rsidR="00AE430C" w:rsidRPr="00045A0A">
        <w:t xml:space="preserve"> and </w:t>
      </w:r>
      <w:r w:rsidR="001B1E0C" w:rsidRPr="00045A0A">
        <w:t xml:space="preserve">the revision </w:t>
      </w:r>
      <w:r w:rsidR="002229BF" w:rsidRPr="00045A0A">
        <w:t xml:space="preserve">will </w:t>
      </w:r>
      <w:r w:rsidR="001B1E0C" w:rsidRPr="00045A0A">
        <w:t xml:space="preserve">lead to </w:t>
      </w:r>
      <w:r w:rsidR="00F6446E" w:rsidRPr="00045A0A">
        <w:t>a</w:t>
      </w:r>
      <w:r w:rsidR="00AE430C" w:rsidRPr="00045A0A">
        <w:t xml:space="preserve"> </w:t>
      </w:r>
      <w:r w:rsidR="00F6446E" w:rsidRPr="00045A0A">
        <w:t>substantially</w:t>
      </w:r>
      <w:r w:rsidR="00AE430C" w:rsidRPr="00045A0A">
        <w:t xml:space="preserve"> </w:t>
      </w:r>
      <w:r w:rsidR="00F6446E" w:rsidRPr="00045A0A">
        <w:t xml:space="preserve">improved </w:t>
      </w:r>
      <w:r w:rsidR="00AE430C" w:rsidRPr="00045A0A">
        <w:t xml:space="preserve">governance </w:t>
      </w:r>
      <w:r w:rsidR="00841EA0" w:rsidRPr="00045A0A">
        <w:t>structure</w:t>
      </w:r>
      <w:r w:rsidR="00AE430C" w:rsidRPr="00045A0A">
        <w:t xml:space="preserve"> </w:t>
      </w:r>
      <w:r w:rsidR="00192A50" w:rsidRPr="00045A0A">
        <w:t>involving all tiers of government;</w:t>
      </w:r>
    </w:p>
    <w:p w:rsidR="00FB42B9" w:rsidRPr="00045A0A" w:rsidRDefault="00FB42B9" w:rsidP="00D00DE1"/>
    <w:p w:rsidR="00FB42B9" w:rsidRPr="00045A0A" w:rsidRDefault="00FB42B9">
      <w:pPr>
        <w:pStyle w:val="Heading1"/>
        <w:ind w:left="567" w:hanging="567"/>
      </w:pPr>
      <w:r w:rsidRPr="00045A0A">
        <w:t>believes that an evidence</w:t>
      </w:r>
      <w:r w:rsidR="002229BF" w:rsidRPr="00045A0A">
        <w:t>-</w:t>
      </w:r>
      <w:r w:rsidRPr="00045A0A">
        <w:t>based approach to public policy – anticipating and measuring the impact of policy options – is crucial to</w:t>
      </w:r>
      <w:r w:rsidR="009461B5" w:rsidRPr="00045A0A">
        <w:t xml:space="preserve"> </w:t>
      </w:r>
      <w:r w:rsidR="002229BF" w:rsidRPr="00045A0A">
        <w:t xml:space="preserve">public </w:t>
      </w:r>
      <w:r w:rsidRPr="00045A0A">
        <w:t xml:space="preserve">acceptance of </w:t>
      </w:r>
      <w:r w:rsidR="002229BF" w:rsidRPr="00045A0A">
        <w:t xml:space="preserve">consistent </w:t>
      </w:r>
      <w:r w:rsidRPr="00045A0A">
        <w:t>policy decisions;</w:t>
      </w:r>
    </w:p>
    <w:p w:rsidR="00B102CB" w:rsidRPr="00045A0A" w:rsidRDefault="00B102CB" w:rsidP="00D00DE1"/>
    <w:p w:rsidR="00184A0A" w:rsidRPr="00045A0A" w:rsidRDefault="00233D5E">
      <w:pPr>
        <w:pStyle w:val="Heading1"/>
        <w:ind w:left="567" w:hanging="567"/>
      </w:pPr>
      <w:r w:rsidRPr="00045A0A">
        <w:t>stresses, with regard to the debate on measuring progress</w:t>
      </w:r>
      <w:r w:rsidR="00F70504" w:rsidRPr="00045A0A">
        <w:t xml:space="preserve"> in our societies</w:t>
      </w:r>
      <w:r w:rsidRPr="00045A0A">
        <w:t>, the close link</w:t>
      </w:r>
      <w:r w:rsidR="00685C53" w:rsidRPr="00045A0A">
        <w:t>s between measurement, perception and action;</w:t>
      </w:r>
      <w:r w:rsidRPr="00045A0A">
        <w:t xml:space="preserve"> emphasising that measures have to be chosen on the basis of widely shared societal valu</w:t>
      </w:r>
      <w:r w:rsidR="00A4074F" w:rsidRPr="00045A0A">
        <w:t>es in a forward</w:t>
      </w:r>
      <w:r w:rsidR="002229BF" w:rsidRPr="00045A0A">
        <w:t>-</w:t>
      </w:r>
      <w:r w:rsidR="00A4074F" w:rsidRPr="00045A0A">
        <w:t>looking manner;</w:t>
      </w:r>
    </w:p>
    <w:p w:rsidR="00E97649" w:rsidRPr="00045A0A" w:rsidRDefault="00E97649" w:rsidP="00D00DE1"/>
    <w:p w:rsidR="00E97649" w:rsidRPr="00045A0A" w:rsidRDefault="002229BF">
      <w:pPr>
        <w:pStyle w:val="Heading1"/>
        <w:ind w:left="567" w:hanging="567"/>
      </w:pPr>
      <w:r w:rsidRPr="00045A0A">
        <w:t xml:space="preserve">points out </w:t>
      </w:r>
      <w:r w:rsidR="00E97649" w:rsidRPr="00045A0A">
        <w:t xml:space="preserve">that measures or targets expressed with indicators can never be substitutes for a proper and clearly expressed </w:t>
      </w:r>
      <w:r w:rsidR="00B94C73" w:rsidRPr="00045A0A">
        <w:t xml:space="preserve">political </w:t>
      </w:r>
      <w:r w:rsidR="00E97649" w:rsidRPr="00045A0A">
        <w:t>strategy</w:t>
      </w:r>
      <w:r w:rsidR="00965EF0" w:rsidRPr="00045A0A">
        <w:t>;</w:t>
      </w:r>
      <w:r w:rsidR="00E97649" w:rsidRPr="00045A0A">
        <w:t xml:space="preserve"> </w:t>
      </w:r>
      <w:r w:rsidR="00965EF0" w:rsidRPr="00045A0A">
        <w:t xml:space="preserve">they </w:t>
      </w:r>
      <w:r w:rsidR="00E97649" w:rsidRPr="00045A0A">
        <w:t xml:space="preserve">remain, therefore, </w:t>
      </w:r>
      <w:r w:rsidRPr="00045A0A">
        <w:t xml:space="preserve">a </w:t>
      </w:r>
      <w:r w:rsidR="00E97649" w:rsidRPr="00045A0A">
        <w:t>means to an end, i.e. tools f</w:t>
      </w:r>
      <w:r w:rsidR="000F02BC" w:rsidRPr="00045A0A">
        <w:t>or implementing strategic goals</w:t>
      </w:r>
      <w:r w:rsidR="00E97649" w:rsidRPr="00045A0A">
        <w:t>;</w:t>
      </w:r>
    </w:p>
    <w:p w:rsidR="00B15091" w:rsidRPr="00045A0A" w:rsidRDefault="00B15091" w:rsidP="00D00DE1">
      <w:pPr>
        <w:ind w:left="567"/>
        <w:outlineLvl w:val="0"/>
      </w:pPr>
    </w:p>
    <w:p w:rsidR="00233D5E" w:rsidRPr="00045A0A" w:rsidRDefault="002229BF">
      <w:pPr>
        <w:pStyle w:val="Heading1"/>
        <w:ind w:left="567" w:hanging="567"/>
      </w:pPr>
      <w:r w:rsidRPr="00045A0A">
        <w:t xml:space="preserve">notes </w:t>
      </w:r>
      <w:r w:rsidR="00233D5E" w:rsidRPr="00045A0A">
        <w:t>that the debate on indicators beyond GDP is</w:t>
      </w:r>
      <w:r w:rsidRPr="00045A0A">
        <w:t>, therefore,</w:t>
      </w:r>
      <w:r w:rsidR="00233D5E" w:rsidRPr="00045A0A">
        <w:t xml:space="preserve"> political in nature, and should </w:t>
      </w:r>
      <w:r w:rsidR="00F70504" w:rsidRPr="00045A0A">
        <w:t>start with</w:t>
      </w:r>
      <w:r w:rsidR="00233D5E" w:rsidRPr="00045A0A">
        <w:t xml:space="preserve"> the definition of what well-being means for current and future generations, and what the best policies are to achieve it;</w:t>
      </w:r>
    </w:p>
    <w:p w:rsidR="00233D5E" w:rsidRPr="00045A0A" w:rsidRDefault="00233D5E" w:rsidP="00D00DE1"/>
    <w:p w:rsidR="00C76F5D" w:rsidRPr="00045A0A" w:rsidRDefault="00233D5E">
      <w:pPr>
        <w:pStyle w:val="Heading1"/>
        <w:ind w:left="567" w:hanging="567"/>
      </w:pPr>
      <w:r w:rsidRPr="00045A0A">
        <w:t>believes, in this context, that it is necessary to further</w:t>
      </w:r>
      <w:r w:rsidR="00831B77" w:rsidRPr="00045A0A">
        <w:t xml:space="preserve"> improve the current methodologies</w:t>
      </w:r>
      <w:r w:rsidRPr="00045A0A">
        <w:t xml:space="preserve"> used for policy-steering </w:t>
      </w:r>
      <w:r w:rsidR="00872C3D" w:rsidRPr="00045A0A">
        <w:t>at</w:t>
      </w:r>
      <w:r w:rsidRPr="00045A0A">
        <w:t xml:space="preserve"> EU level in order to obtain more up-to-date</w:t>
      </w:r>
      <w:r w:rsidR="00053CB2" w:rsidRPr="00045A0A">
        <w:t>,</w:t>
      </w:r>
      <w:r w:rsidRPr="00045A0A">
        <w:t xml:space="preserve"> comprehensive information that better matches reality</w:t>
      </w:r>
      <w:r w:rsidR="00872C3D" w:rsidRPr="00045A0A">
        <w:t>,</w:t>
      </w:r>
      <w:r w:rsidR="000F02BC" w:rsidRPr="00045A0A">
        <w:t xml:space="preserve"> and to define an appropriate</w:t>
      </w:r>
      <w:r w:rsidR="00872C3D" w:rsidRPr="00045A0A">
        <w:t>,</w:t>
      </w:r>
      <w:r w:rsidR="000F02BC" w:rsidRPr="00045A0A">
        <w:t xml:space="preserve"> uniform method for including economic, social and environmental aspects</w:t>
      </w:r>
      <w:r w:rsidR="00053CB2" w:rsidRPr="00045A0A">
        <w:t xml:space="preserve"> in the analysis</w:t>
      </w:r>
      <w:r w:rsidR="00FF60A6" w:rsidRPr="00045A0A">
        <w:t xml:space="preserve"> of the situation</w:t>
      </w:r>
      <w:r w:rsidRPr="00045A0A">
        <w:t>;</w:t>
      </w:r>
    </w:p>
    <w:p w:rsidR="00745F2D" w:rsidRPr="00045A0A" w:rsidRDefault="00745F2D" w:rsidP="00D00DE1"/>
    <w:p w:rsidR="00745F2D" w:rsidRPr="00045A0A" w:rsidRDefault="000A6C5F">
      <w:pPr>
        <w:pStyle w:val="Heading1"/>
        <w:ind w:left="567" w:hanging="567"/>
      </w:pPr>
      <w:r w:rsidRPr="00045A0A">
        <w:t xml:space="preserve">underlines that all levels of government in the European Union </w:t>
      </w:r>
      <w:r w:rsidR="00872C3D" w:rsidRPr="00045A0A">
        <w:t xml:space="preserve">should </w:t>
      </w:r>
      <w:r w:rsidRPr="00045A0A">
        <w:t xml:space="preserve">be included in this debate on the future benchmarks for achieving </w:t>
      </w:r>
      <w:r w:rsidR="00F15EE0" w:rsidRPr="00045A0A">
        <w:t xml:space="preserve">sustainable development </w:t>
      </w:r>
      <w:r w:rsidRPr="00045A0A">
        <w:t>and cohesion in the European Union</w:t>
      </w:r>
      <w:r w:rsidR="00355493" w:rsidRPr="00045A0A">
        <w:t>,</w:t>
      </w:r>
      <w:r w:rsidRPr="00045A0A">
        <w:t xml:space="preserve"> going beyond GDP;</w:t>
      </w:r>
    </w:p>
    <w:p w:rsidR="00745F2D" w:rsidRPr="00045A0A" w:rsidRDefault="00745F2D" w:rsidP="00D00DE1"/>
    <w:p w:rsidR="00745F2D" w:rsidRPr="00045A0A" w:rsidRDefault="00745F2D">
      <w:pPr>
        <w:pStyle w:val="Heading1"/>
        <w:ind w:left="567" w:hanging="567"/>
      </w:pPr>
      <w:r w:rsidRPr="00045A0A">
        <w:t>underlines the challenge of a growing territorial divide in Europe with regard</w:t>
      </w:r>
      <w:r w:rsidR="00872C3D" w:rsidRPr="00045A0A">
        <w:t xml:space="preserve">, </w:t>
      </w:r>
      <w:r w:rsidR="00872C3D" w:rsidRPr="00045A0A">
        <w:rPr>
          <w:i/>
        </w:rPr>
        <w:t>inter alia</w:t>
      </w:r>
      <w:r w:rsidR="00872C3D" w:rsidRPr="00045A0A">
        <w:t>,</w:t>
      </w:r>
      <w:r w:rsidR="00FB42B9" w:rsidRPr="00045A0A">
        <w:t xml:space="preserve"> </w:t>
      </w:r>
      <w:r w:rsidRPr="00045A0A">
        <w:t xml:space="preserve">to innovation, digital services, productivity </w:t>
      </w:r>
      <w:r w:rsidR="00355493" w:rsidRPr="00045A0A">
        <w:t xml:space="preserve">and </w:t>
      </w:r>
      <w:r w:rsidRPr="00045A0A">
        <w:t>employment</w:t>
      </w:r>
      <w:r w:rsidR="00355493" w:rsidRPr="00045A0A">
        <w:t>,</w:t>
      </w:r>
      <w:r w:rsidRPr="00045A0A">
        <w:t xml:space="preserve"> and </w:t>
      </w:r>
      <w:r w:rsidR="00355493" w:rsidRPr="00045A0A">
        <w:t xml:space="preserve">asks </w:t>
      </w:r>
      <w:r w:rsidRPr="00045A0A">
        <w:t>the European Commission to take this into account when assessing EU policies and designing new policy instruments;</w:t>
      </w:r>
    </w:p>
    <w:p w:rsidR="00713EBB" w:rsidRPr="00045A0A" w:rsidRDefault="00713EBB" w:rsidP="00D00DE1"/>
    <w:p w:rsidR="00FD55C5" w:rsidRPr="00045A0A" w:rsidRDefault="004B47FD">
      <w:pPr>
        <w:pStyle w:val="Heading1"/>
        <w:ind w:left="567" w:hanging="567"/>
      </w:pPr>
      <w:r w:rsidRPr="00045A0A">
        <w:t xml:space="preserve">emphasises </w:t>
      </w:r>
      <w:r w:rsidR="00713EBB" w:rsidRPr="00045A0A">
        <w:t>in this respect</w:t>
      </w:r>
      <w:r w:rsidR="002E7C9D" w:rsidRPr="00045A0A">
        <w:t xml:space="preserve"> that the CoR could be part of this debate</w:t>
      </w:r>
      <w:r w:rsidRPr="00045A0A">
        <w:t xml:space="preserve">, </w:t>
      </w:r>
      <w:r w:rsidR="002E7C9D" w:rsidRPr="00045A0A">
        <w:t>promot</w:t>
      </w:r>
      <w:r w:rsidRPr="00045A0A">
        <w:t>ing</w:t>
      </w:r>
      <w:r w:rsidR="002E7C9D" w:rsidRPr="00045A0A">
        <w:t xml:space="preserve"> the position of local and regional authorities and </w:t>
      </w:r>
      <w:r w:rsidR="00713EBB" w:rsidRPr="00045A0A">
        <w:t>substantially contribut</w:t>
      </w:r>
      <w:r w:rsidRPr="00045A0A">
        <w:t>ing</w:t>
      </w:r>
      <w:r w:rsidR="00713EBB" w:rsidRPr="00045A0A">
        <w:t xml:space="preserve"> to defining a method which balances economic, social and environmental information and </w:t>
      </w:r>
      <w:r w:rsidR="00413313" w:rsidRPr="00045A0A">
        <w:t xml:space="preserve">which </w:t>
      </w:r>
      <w:r w:rsidR="00713EBB" w:rsidRPr="00045A0A">
        <w:t xml:space="preserve">would, as a reference for financing decisions, </w:t>
      </w:r>
      <w:r w:rsidR="00413313" w:rsidRPr="00045A0A">
        <w:t xml:space="preserve">eventually be </w:t>
      </w:r>
      <w:r w:rsidR="00713EBB" w:rsidRPr="00045A0A">
        <w:t xml:space="preserve">of utmost importance </w:t>
      </w:r>
      <w:r w:rsidR="00413313" w:rsidRPr="00045A0A">
        <w:t>to</w:t>
      </w:r>
      <w:r w:rsidR="00713EBB" w:rsidRPr="00045A0A">
        <w:t xml:space="preserve"> regional and local authorities;</w:t>
      </w:r>
    </w:p>
    <w:p w:rsidR="00E65935" w:rsidRPr="00045A0A" w:rsidRDefault="00E65935" w:rsidP="00D00DE1"/>
    <w:p w:rsidR="00E65935" w:rsidRPr="00045A0A" w:rsidRDefault="00E65935">
      <w:pPr>
        <w:pStyle w:val="Heading1"/>
        <w:ind w:left="567" w:hanging="567"/>
      </w:pPr>
      <w:r w:rsidRPr="00045A0A">
        <w:t>suggests</w:t>
      </w:r>
      <w:r w:rsidR="00413313" w:rsidRPr="00045A0A">
        <w:t>,</w:t>
      </w:r>
      <w:r w:rsidRPr="00045A0A">
        <w:t xml:space="preserve"> </w:t>
      </w:r>
      <w:r w:rsidR="00413313" w:rsidRPr="00045A0A">
        <w:t xml:space="preserve">with a </w:t>
      </w:r>
      <w:r w:rsidRPr="00045A0A">
        <w:t xml:space="preserve">view </w:t>
      </w:r>
      <w:r w:rsidR="00413313" w:rsidRPr="00045A0A">
        <w:t>to</w:t>
      </w:r>
      <w:r w:rsidRPr="00045A0A">
        <w:t xml:space="preserve"> the next programming period beyond 2020</w:t>
      </w:r>
      <w:r w:rsidR="00413313" w:rsidRPr="00045A0A">
        <w:t>,</w:t>
      </w:r>
      <w:r w:rsidRPr="00045A0A">
        <w:t xml:space="preserve"> that the European Commission starts as early as possible an in-depth discussion with local and regional authorities about </w:t>
      </w:r>
      <w:r w:rsidR="00413313" w:rsidRPr="00045A0A">
        <w:t xml:space="preserve">the </w:t>
      </w:r>
      <w:r w:rsidRPr="00045A0A">
        <w:t>future goals of these policies and the necessary indicators to measure this progress</w:t>
      </w:r>
      <w:r w:rsidR="00413313" w:rsidRPr="00045A0A">
        <w:t>,</w:t>
      </w:r>
      <w:r w:rsidRPr="00045A0A">
        <w:t xml:space="preserve"> and suggests that the Commission put forwards an Action Plan on this;</w:t>
      </w:r>
    </w:p>
    <w:p w:rsidR="00233D5E" w:rsidRPr="00045A0A" w:rsidRDefault="00233D5E" w:rsidP="00D00DE1"/>
    <w:p w:rsidR="006F77D2" w:rsidRPr="00045A0A" w:rsidRDefault="00671E04" w:rsidP="00D00DE1">
      <w:pPr>
        <w:rPr>
          <w:b/>
        </w:rPr>
      </w:pPr>
      <w:r w:rsidRPr="00045A0A">
        <w:rPr>
          <w:b/>
        </w:rPr>
        <w:t xml:space="preserve">Towards a method </w:t>
      </w:r>
      <w:r w:rsidR="00413313" w:rsidRPr="00045A0A">
        <w:rPr>
          <w:b/>
        </w:rPr>
        <w:t xml:space="preserve">complementing GDP </w:t>
      </w:r>
      <w:r w:rsidRPr="00045A0A">
        <w:rPr>
          <w:b/>
        </w:rPr>
        <w:t xml:space="preserve">for targeting </w:t>
      </w:r>
      <w:r w:rsidR="005F13F7" w:rsidRPr="00045A0A">
        <w:rPr>
          <w:b/>
        </w:rPr>
        <w:t xml:space="preserve">EU </w:t>
      </w:r>
      <w:r w:rsidR="00D84F87" w:rsidRPr="00045A0A">
        <w:rPr>
          <w:b/>
        </w:rPr>
        <w:t>policy</w:t>
      </w:r>
    </w:p>
    <w:p w:rsidR="006F77D2" w:rsidRPr="00045A0A" w:rsidRDefault="006F77D2" w:rsidP="00D00DE1"/>
    <w:p w:rsidR="003C0AC2" w:rsidRPr="00045A0A" w:rsidRDefault="003C0AC2">
      <w:pPr>
        <w:pStyle w:val="Heading1"/>
        <w:ind w:left="567" w:hanging="567"/>
      </w:pPr>
      <w:r w:rsidRPr="00045A0A">
        <w:t xml:space="preserve">acknowledges the merits of </w:t>
      </w:r>
      <w:r w:rsidR="00980D22" w:rsidRPr="00045A0A">
        <w:t>Gross Domestic Product (GDP)</w:t>
      </w:r>
      <w:r w:rsidRPr="00045A0A">
        <w:t xml:space="preserve"> </w:t>
      </w:r>
      <w:r w:rsidR="002E5EA0" w:rsidRPr="00045A0A">
        <w:t>as a simple, straightforward and linear ind</w:t>
      </w:r>
      <w:r w:rsidR="00DE2AA2" w:rsidRPr="00045A0A">
        <w:t>icator</w:t>
      </w:r>
      <w:r w:rsidR="002E5EA0" w:rsidRPr="00045A0A">
        <w:t xml:space="preserve"> </w:t>
      </w:r>
      <w:r w:rsidRPr="00045A0A">
        <w:t xml:space="preserve">based on a clear methodology that allows comparison </w:t>
      </w:r>
      <w:r w:rsidR="002E5EA0" w:rsidRPr="00045A0A">
        <w:t xml:space="preserve">of </w:t>
      </w:r>
      <w:r w:rsidR="00DE2AA2" w:rsidRPr="00045A0A">
        <w:t>many relevant macro</w:t>
      </w:r>
      <w:r w:rsidR="002E5EA0" w:rsidRPr="00045A0A">
        <w:t>economic</w:t>
      </w:r>
      <w:r w:rsidR="00DE2AA2" w:rsidRPr="00045A0A">
        <w:t xml:space="preserve"> measures </w:t>
      </w:r>
      <w:r w:rsidRPr="00045A0A">
        <w:t>over time and</w:t>
      </w:r>
      <w:r w:rsidR="001C42B3" w:rsidRPr="00045A0A">
        <w:t xml:space="preserve"> between countries and regions, therefore </w:t>
      </w:r>
      <w:r w:rsidR="00413313" w:rsidRPr="00045A0A">
        <w:t xml:space="preserve">representing </w:t>
      </w:r>
      <w:r w:rsidR="001C42B3" w:rsidRPr="00045A0A">
        <w:t>a useful tool for allocating resources;</w:t>
      </w:r>
      <w:r w:rsidRPr="00045A0A">
        <w:t xml:space="preserve"> </w:t>
      </w:r>
    </w:p>
    <w:p w:rsidR="003C0AC2" w:rsidRPr="00045A0A" w:rsidRDefault="003C0AC2" w:rsidP="00D00DE1"/>
    <w:p w:rsidR="001A7258" w:rsidRPr="00045A0A" w:rsidRDefault="00D85ED8">
      <w:pPr>
        <w:pStyle w:val="Heading1"/>
        <w:ind w:left="567" w:hanging="567"/>
      </w:pPr>
      <w:r w:rsidRPr="00045A0A">
        <w:t>points out</w:t>
      </w:r>
      <w:r w:rsidR="00980D22" w:rsidRPr="00045A0A">
        <w:t>, however,</w:t>
      </w:r>
      <w:r w:rsidR="007E0747" w:rsidRPr="00045A0A">
        <w:t xml:space="preserve"> that </w:t>
      </w:r>
      <w:r w:rsidR="00980D22" w:rsidRPr="00045A0A">
        <w:t xml:space="preserve">GDP </w:t>
      </w:r>
      <w:r w:rsidR="007E0747" w:rsidRPr="00045A0A">
        <w:t xml:space="preserve">is not an accurate measure of the ability of a society to tackle issues such as climate change, resource efficiency, quality of life or social inclusion; and adds that these aspects are of key concern </w:t>
      </w:r>
      <w:r w:rsidRPr="00045A0A">
        <w:t>to</w:t>
      </w:r>
      <w:r w:rsidR="007E0747" w:rsidRPr="00045A0A">
        <w:t xml:space="preserve"> citizens</w:t>
      </w:r>
      <w:r w:rsidRPr="00045A0A">
        <w:t>,</w:t>
      </w:r>
      <w:r w:rsidR="007E0747" w:rsidRPr="00045A0A">
        <w:t xml:space="preserve"> as observed by regional and local representatives;</w:t>
      </w:r>
    </w:p>
    <w:p w:rsidR="00456A66" w:rsidRPr="00045A0A" w:rsidRDefault="00456A66" w:rsidP="00D00DE1"/>
    <w:p w:rsidR="00E65935" w:rsidRPr="00045A0A" w:rsidRDefault="00456A66">
      <w:pPr>
        <w:pStyle w:val="Heading1"/>
        <w:ind w:left="567" w:hanging="567"/>
      </w:pPr>
      <w:r w:rsidRPr="00045A0A">
        <w:t xml:space="preserve">welcomes, therefore, the numerous initiatives </w:t>
      </w:r>
      <w:r w:rsidR="00D85ED8" w:rsidRPr="00045A0A">
        <w:t>at</w:t>
      </w:r>
      <w:r w:rsidRPr="00045A0A">
        <w:t xml:space="preserve"> international, national, regional and local level for establishing indices for measuring progress</w:t>
      </w:r>
      <w:r w:rsidR="00CD1F6C" w:rsidRPr="00045A0A">
        <w:t xml:space="preserve"> beyond GDP</w:t>
      </w:r>
      <w:r w:rsidRPr="00045A0A">
        <w:t xml:space="preserve">, </w:t>
      </w:r>
      <w:r w:rsidR="002E7C9D" w:rsidRPr="00045A0A">
        <w:t>that can help to develop EU</w:t>
      </w:r>
      <w:r w:rsidR="00D85ED8" w:rsidRPr="00045A0A">
        <w:t>-</w:t>
      </w:r>
      <w:r w:rsidR="002E7C9D" w:rsidRPr="00045A0A">
        <w:t>wide indicators reflecting the situation in the Member States</w:t>
      </w:r>
      <w:r w:rsidR="00D85ED8" w:rsidRPr="00045A0A">
        <w:t>,</w:t>
      </w:r>
      <w:r w:rsidR="002E7C9D" w:rsidRPr="00045A0A">
        <w:t xml:space="preserve"> also at local and regional levels, </w:t>
      </w:r>
      <w:r w:rsidRPr="00045A0A">
        <w:t>providing a wide</w:t>
      </w:r>
      <w:r w:rsidR="007C740B" w:rsidRPr="00045A0A">
        <w:t xml:space="preserve"> range of different approaches, which can be </w:t>
      </w:r>
      <w:r w:rsidR="00030812" w:rsidRPr="00045A0A">
        <w:t xml:space="preserve">classified </w:t>
      </w:r>
      <w:r w:rsidR="00D85ED8" w:rsidRPr="00045A0A">
        <w:t>as</w:t>
      </w:r>
      <w:r w:rsidR="00030812" w:rsidRPr="00045A0A">
        <w:t xml:space="preserve"> GDP-replacing, GDP-adjusting and GDP-complementing methods;</w:t>
      </w:r>
    </w:p>
    <w:p w:rsidR="00431A59" w:rsidRPr="00045A0A" w:rsidRDefault="00431A59" w:rsidP="00D00DE1"/>
    <w:p w:rsidR="00431A59" w:rsidRPr="00045A0A" w:rsidRDefault="00431A59">
      <w:pPr>
        <w:pStyle w:val="Heading1"/>
        <w:ind w:left="567" w:hanging="567"/>
      </w:pPr>
      <w:r w:rsidRPr="00045A0A">
        <w:t xml:space="preserve">acknowledges the </w:t>
      </w:r>
      <w:r w:rsidR="000029A5" w:rsidRPr="00045A0A">
        <w:t>remarkable progress achieved by</w:t>
      </w:r>
      <w:r w:rsidRPr="00045A0A">
        <w:t xml:space="preserve"> Eurostat </w:t>
      </w:r>
      <w:r w:rsidR="000029A5" w:rsidRPr="00045A0A">
        <w:t xml:space="preserve">in the context of </w:t>
      </w:r>
      <w:r w:rsidR="005E2756" w:rsidRPr="00045A0A">
        <w:t xml:space="preserve">measuring progress beyond GDP </w:t>
      </w:r>
      <w:r w:rsidRPr="00045A0A">
        <w:t xml:space="preserve">in </w:t>
      </w:r>
      <w:r w:rsidR="000029A5" w:rsidRPr="00045A0A">
        <w:t>the areas of '</w:t>
      </w:r>
      <w:r w:rsidR="00D85ED8" w:rsidRPr="00045A0A">
        <w:t>q</w:t>
      </w:r>
      <w:r w:rsidR="000029A5" w:rsidRPr="00045A0A">
        <w:t>uality of life', '</w:t>
      </w:r>
      <w:r w:rsidR="00D85ED8" w:rsidRPr="00045A0A">
        <w:t>h</w:t>
      </w:r>
      <w:r w:rsidR="000029A5" w:rsidRPr="00045A0A">
        <w:t>ousehold economy' and '</w:t>
      </w:r>
      <w:r w:rsidR="00D85ED8" w:rsidRPr="00045A0A">
        <w:t>s</w:t>
      </w:r>
      <w:r w:rsidR="000029A5" w:rsidRPr="00045A0A">
        <w:t>ustainable environment'.</w:t>
      </w:r>
    </w:p>
    <w:p w:rsidR="00715E77" w:rsidRPr="00045A0A" w:rsidRDefault="00715E77" w:rsidP="00D00DE1"/>
    <w:p w:rsidR="00715E77" w:rsidRPr="00045A0A" w:rsidRDefault="00D85ED8">
      <w:pPr>
        <w:pStyle w:val="Heading1"/>
        <w:ind w:left="567" w:hanging="567"/>
      </w:pPr>
      <w:r w:rsidRPr="00045A0A">
        <w:t xml:space="preserve">notes </w:t>
      </w:r>
      <w:r w:rsidR="00715E77" w:rsidRPr="00045A0A">
        <w:t xml:space="preserve">that not all regions and cities have the necessary competences, resources and administrative capacity to engage in target-setting and proposes </w:t>
      </w:r>
      <w:r w:rsidRPr="00045A0A">
        <w:t>that</w:t>
      </w:r>
      <w:r w:rsidR="00715E77" w:rsidRPr="00045A0A">
        <w:t xml:space="preserve"> solutions</w:t>
      </w:r>
      <w:r w:rsidRPr="00045A0A">
        <w:t xml:space="preserve"> be adopted</w:t>
      </w:r>
      <w:r w:rsidR="00715E77" w:rsidRPr="00045A0A">
        <w:t>, including a more qualitative 'path-to-change' approach</w:t>
      </w:r>
      <w:r w:rsidRPr="00045A0A">
        <w:t>,</w:t>
      </w:r>
      <w:r w:rsidR="00715E77" w:rsidRPr="00045A0A">
        <w:t xml:space="preserve"> where the direction of change – i.e. whether regions and cities make positive contributions to national and European targets – would be more important than reaching certain fixed targets. This would allow local and regional authorities to progress at a pace which corresponds to their own potential and capabilities;</w:t>
      </w:r>
    </w:p>
    <w:p w:rsidR="0058304A" w:rsidRPr="00045A0A" w:rsidRDefault="0058304A" w:rsidP="00D00DE1"/>
    <w:p w:rsidR="004068AF" w:rsidRPr="00045A0A" w:rsidRDefault="000C51C9">
      <w:pPr>
        <w:pStyle w:val="Heading1"/>
        <w:ind w:left="567" w:hanging="567"/>
      </w:pPr>
      <w:r w:rsidRPr="00045A0A">
        <w:t>points out, however, that</w:t>
      </w:r>
      <w:r w:rsidR="0058304A" w:rsidRPr="00045A0A">
        <w:t xml:space="preserve"> </w:t>
      </w:r>
      <w:r w:rsidR="00D85ED8" w:rsidRPr="00045A0A">
        <w:t xml:space="preserve">the </w:t>
      </w:r>
      <w:r w:rsidR="0058304A" w:rsidRPr="00045A0A">
        <w:t xml:space="preserve">indices </w:t>
      </w:r>
      <w:r w:rsidRPr="00045A0A">
        <w:t>chosen to be</w:t>
      </w:r>
      <w:r w:rsidR="0058304A" w:rsidRPr="00045A0A">
        <w:t xml:space="preserve"> used by local, regional, national and European authorities for </w:t>
      </w:r>
      <w:r w:rsidR="004068AF" w:rsidRPr="00045A0A">
        <w:t xml:space="preserve">drafting and implementing EU policies and </w:t>
      </w:r>
      <w:r w:rsidR="0058304A" w:rsidRPr="00045A0A">
        <w:t>measuring progress towards common goals must be uniform and consistent;</w:t>
      </w:r>
    </w:p>
    <w:p w:rsidR="0076496E" w:rsidRPr="00045A0A" w:rsidRDefault="0076496E" w:rsidP="00D00DE1"/>
    <w:p w:rsidR="00A12773" w:rsidRPr="00045A0A" w:rsidRDefault="00F518C5">
      <w:pPr>
        <w:pStyle w:val="Heading1"/>
        <w:ind w:left="567" w:hanging="567"/>
      </w:pPr>
      <w:r w:rsidRPr="00045A0A">
        <w:t>reiterates</w:t>
      </w:r>
      <w:r w:rsidR="0076496E" w:rsidRPr="00045A0A">
        <w:t>, with regard to EU Regional Policy,</w:t>
      </w:r>
      <w:r w:rsidRPr="00045A0A">
        <w:t xml:space="preserve"> that territorial cohesion is complementary to economic and social cohesion and cannot </w:t>
      </w:r>
      <w:r w:rsidR="00576A61" w:rsidRPr="00045A0A">
        <w:t xml:space="preserve">therefore </w:t>
      </w:r>
      <w:r w:rsidRPr="00045A0A">
        <w:t xml:space="preserve">be measured </w:t>
      </w:r>
      <w:r w:rsidR="00975117" w:rsidRPr="00045A0A">
        <w:t>solely by an economic indicator</w:t>
      </w:r>
      <w:r w:rsidR="00576A61" w:rsidRPr="00045A0A">
        <w:t>,</w:t>
      </w:r>
      <w:r w:rsidR="00C70956" w:rsidRPr="00045A0A">
        <w:t xml:space="preserve"> but </w:t>
      </w:r>
      <w:r w:rsidR="00975117" w:rsidRPr="00045A0A">
        <w:t>agrees</w:t>
      </w:r>
      <w:r w:rsidR="00B32075" w:rsidRPr="00045A0A">
        <w:t xml:space="preserve"> </w:t>
      </w:r>
      <w:r w:rsidR="005A60F5" w:rsidRPr="00045A0A">
        <w:t xml:space="preserve">with the European Commission </w:t>
      </w:r>
      <w:r w:rsidR="00B6056E" w:rsidRPr="00045A0A">
        <w:t>that any method</w:t>
      </w:r>
      <w:r w:rsidR="00CD6299" w:rsidRPr="00045A0A">
        <w:t xml:space="preserve"> that </w:t>
      </w:r>
      <w:r w:rsidR="00540AD7" w:rsidRPr="00045A0A">
        <w:t>aims to replace</w:t>
      </w:r>
      <w:r w:rsidR="007D0EBC" w:rsidRPr="00045A0A">
        <w:t xml:space="preserve"> GDP by excluding</w:t>
      </w:r>
      <w:r w:rsidR="00CD6299" w:rsidRPr="00045A0A">
        <w:t xml:space="preserve"> </w:t>
      </w:r>
      <w:r w:rsidR="007D0EBC" w:rsidRPr="00045A0A">
        <w:t xml:space="preserve">economic indicators </w:t>
      </w:r>
      <w:r w:rsidR="00540AD7" w:rsidRPr="00045A0A">
        <w:t xml:space="preserve">from its scope of observation </w:t>
      </w:r>
      <w:r w:rsidR="00B6056E" w:rsidRPr="00045A0A">
        <w:t xml:space="preserve">is not appropriate for the purpose </w:t>
      </w:r>
      <w:r w:rsidR="00576A61" w:rsidRPr="00045A0A">
        <w:t>of</w:t>
      </w:r>
      <w:r w:rsidR="00B6056E" w:rsidRPr="00045A0A">
        <w:t xml:space="preserve"> measuring progress</w:t>
      </w:r>
      <w:r w:rsidR="00975117" w:rsidRPr="00045A0A">
        <w:t xml:space="preserve"> towards common goals</w:t>
      </w:r>
      <w:r w:rsidR="0001128B" w:rsidRPr="00045A0A">
        <w:t xml:space="preserve"> in a uniform manner</w:t>
      </w:r>
      <w:r w:rsidR="00B228ED" w:rsidRPr="00045A0A">
        <w:t>;</w:t>
      </w:r>
    </w:p>
    <w:p w:rsidR="00255CA5" w:rsidRPr="00045A0A" w:rsidRDefault="00255CA5" w:rsidP="00D00DE1"/>
    <w:p w:rsidR="00255CA5" w:rsidRPr="00045A0A" w:rsidRDefault="00255CA5">
      <w:pPr>
        <w:pStyle w:val="Heading1"/>
        <w:ind w:left="567" w:hanging="567"/>
      </w:pPr>
      <w:r w:rsidRPr="00045A0A">
        <w:t xml:space="preserve">suggests </w:t>
      </w:r>
      <w:r w:rsidR="00576A61" w:rsidRPr="00045A0A">
        <w:t>that</w:t>
      </w:r>
      <w:r w:rsidRPr="00045A0A">
        <w:t xml:space="preserve"> </w:t>
      </w:r>
      <w:r w:rsidR="00576A61" w:rsidRPr="00045A0A">
        <w:t xml:space="preserve">the CoR maintain </w:t>
      </w:r>
      <w:r w:rsidRPr="00045A0A">
        <w:t>close cooperation</w:t>
      </w:r>
      <w:r w:rsidR="00BE2C93" w:rsidRPr="00045A0A">
        <w:t>,</w:t>
      </w:r>
      <w:r w:rsidRPr="00045A0A">
        <w:t xml:space="preserve"> particularly with the OECD</w:t>
      </w:r>
      <w:r w:rsidR="00BE2C93" w:rsidRPr="00045A0A">
        <w:t>,</w:t>
      </w:r>
      <w:r w:rsidRPr="00045A0A">
        <w:t xml:space="preserve"> on initiatives such as "How is life in your region?"</w:t>
      </w:r>
      <w:r w:rsidR="00BE2C93" w:rsidRPr="00045A0A">
        <w:t>,</w:t>
      </w:r>
      <w:r w:rsidRPr="00045A0A">
        <w:t xml:space="preserve"> which represent an easy</w:t>
      </w:r>
      <w:r w:rsidR="00BE2C93" w:rsidRPr="00045A0A">
        <w:t>-</w:t>
      </w:r>
      <w:r w:rsidRPr="00045A0A">
        <w:t>to</w:t>
      </w:r>
      <w:r w:rsidR="00BE2C93" w:rsidRPr="00045A0A">
        <w:t>-</w:t>
      </w:r>
      <w:r w:rsidRPr="00045A0A">
        <w:t xml:space="preserve">understand instrument and a more holistic approach </w:t>
      </w:r>
      <w:r w:rsidR="00BE2C93" w:rsidRPr="00045A0A">
        <w:t>to</w:t>
      </w:r>
      <w:r w:rsidRPr="00045A0A">
        <w:t xml:space="preserve"> measuring progress at local and regional level</w:t>
      </w:r>
      <w:r w:rsidR="00BE2C93" w:rsidRPr="00045A0A">
        <w:t>,</w:t>
      </w:r>
      <w:r w:rsidR="00F03EAF" w:rsidRPr="00045A0A">
        <w:t xml:space="preserve"> </w:t>
      </w:r>
      <w:r w:rsidR="007711BA" w:rsidRPr="00045A0A">
        <w:t>but,</w:t>
      </w:r>
      <w:r w:rsidRPr="00045A0A">
        <w:t xml:space="preserve"> in the context of a multi-annual strategy for Europe</w:t>
      </w:r>
      <w:r w:rsidR="007711BA" w:rsidRPr="00045A0A">
        <w:t>,</w:t>
      </w:r>
      <w:r w:rsidRPr="00045A0A">
        <w:t xml:space="preserve"> </w:t>
      </w:r>
      <w:r w:rsidR="00BE2C93" w:rsidRPr="00045A0A">
        <w:t xml:space="preserve">opposes </w:t>
      </w:r>
      <w:r w:rsidRPr="00045A0A">
        <w:t xml:space="preserve">an approach </w:t>
      </w:r>
      <w:r w:rsidR="00BE2C93" w:rsidRPr="00045A0A">
        <w:t>to</w:t>
      </w:r>
      <w:r w:rsidRPr="00045A0A">
        <w:t xml:space="preserve"> measuring progress based on a ranking </w:t>
      </w:r>
      <w:r w:rsidR="00BE2C93" w:rsidRPr="00045A0A">
        <w:t xml:space="preserve">using </w:t>
      </w:r>
      <w:r w:rsidRPr="00045A0A">
        <w:t>one single measure;</w:t>
      </w:r>
    </w:p>
    <w:p w:rsidR="001C42B3" w:rsidRPr="00045A0A" w:rsidRDefault="001C42B3" w:rsidP="00D00DE1"/>
    <w:p w:rsidR="001C42B3" w:rsidRPr="00045A0A" w:rsidRDefault="001C42B3">
      <w:pPr>
        <w:pStyle w:val="Heading1"/>
        <w:ind w:left="567" w:hanging="567"/>
      </w:pPr>
      <w:r w:rsidRPr="00045A0A">
        <w:t xml:space="preserve">believes that methods attempting to adjust GDP by extending traditional economic performance measures with monetised environmental and social factors are highly </w:t>
      </w:r>
      <w:r w:rsidR="00C9779E" w:rsidRPr="00045A0A">
        <w:t xml:space="preserve">appropriate </w:t>
      </w:r>
      <w:r w:rsidRPr="00045A0A">
        <w:t>for modelling or simulating the economic, social and environmental effects of different policy measures;</w:t>
      </w:r>
    </w:p>
    <w:p w:rsidR="00AD56C2" w:rsidRPr="00045A0A" w:rsidRDefault="00AD56C2" w:rsidP="00D00DE1"/>
    <w:p w:rsidR="00834F72" w:rsidRPr="00045A0A" w:rsidRDefault="00E70FE6">
      <w:pPr>
        <w:pStyle w:val="Heading1"/>
        <w:ind w:left="567" w:hanging="567"/>
      </w:pPr>
      <w:r w:rsidRPr="00045A0A">
        <w:t>welcomes the relevant work carried out by the Euro</w:t>
      </w:r>
      <w:r w:rsidR="00807D71" w:rsidRPr="00045A0A">
        <w:t>pean Commission in the</w:t>
      </w:r>
      <w:r w:rsidRPr="00045A0A">
        <w:t xml:space="preserve"> field of </w:t>
      </w:r>
      <w:r w:rsidR="00147488" w:rsidRPr="00045A0A">
        <w:t>adjusting GDP</w:t>
      </w:r>
      <w:r w:rsidR="00C9779E" w:rsidRPr="00045A0A">
        <w:t>, using the particularly successful approach of</w:t>
      </w:r>
      <w:r w:rsidR="00147488" w:rsidRPr="00045A0A">
        <w:t xml:space="preserve"> </w:t>
      </w:r>
      <w:r w:rsidR="00960E4E" w:rsidRPr="00045A0A">
        <w:t>e</w:t>
      </w:r>
      <w:r w:rsidR="0069650E" w:rsidRPr="00045A0A">
        <w:t>xtending national a</w:t>
      </w:r>
      <w:r w:rsidR="006C33CB" w:rsidRPr="00045A0A">
        <w:t>ccounts</w:t>
      </w:r>
      <w:r w:rsidR="00A70DB2" w:rsidRPr="00045A0A">
        <w:t xml:space="preserve"> </w:t>
      </w:r>
      <w:r w:rsidR="00C9779E" w:rsidRPr="00045A0A">
        <w:t>to include</w:t>
      </w:r>
      <w:r w:rsidR="00834F72" w:rsidRPr="00045A0A">
        <w:t xml:space="preserve"> the environmental domain</w:t>
      </w:r>
      <w:r w:rsidR="00416341" w:rsidRPr="00045A0A">
        <w:t>,</w:t>
      </w:r>
      <w:r w:rsidR="00AF31F9" w:rsidRPr="00045A0A">
        <w:t xml:space="preserve"> but </w:t>
      </w:r>
      <w:r w:rsidR="00C9779E" w:rsidRPr="00045A0A">
        <w:t>draws attention to</w:t>
      </w:r>
      <w:r w:rsidR="00416341" w:rsidRPr="00045A0A">
        <w:t xml:space="preserve"> </w:t>
      </w:r>
      <w:r w:rsidR="00380D6D" w:rsidRPr="00045A0A">
        <w:t xml:space="preserve">the theoretical difficulties </w:t>
      </w:r>
      <w:r w:rsidR="00C9779E" w:rsidRPr="00045A0A">
        <w:t xml:space="preserve">involved </w:t>
      </w:r>
      <w:r w:rsidR="008D6957" w:rsidRPr="00045A0A">
        <w:t xml:space="preserve">and </w:t>
      </w:r>
      <w:r w:rsidR="00C9779E" w:rsidRPr="00045A0A">
        <w:t xml:space="preserve">the </w:t>
      </w:r>
      <w:r w:rsidR="008D6957" w:rsidRPr="00045A0A">
        <w:t xml:space="preserve">extensive resources needed for expressing </w:t>
      </w:r>
      <w:r w:rsidR="00380D6D" w:rsidRPr="00045A0A">
        <w:t xml:space="preserve">social </w:t>
      </w:r>
      <w:r w:rsidR="008D6957" w:rsidRPr="00045A0A">
        <w:t>aspe</w:t>
      </w:r>
      <w:r w:rsidR="000473F8" w:rsidRPr="00045A0A">
        <w:t xml:space="preserve">cts in monetary terms, especially when it comes to regional and </w:t>
      </w:r>
      <w:r w:rsidR="00BF59D2" w:rsidRPr="00045A0A">
        <w:t>municipal</w:t>
      </w:r>
      <w:r w:rsidR="000473F8" w:rsidRPr="00045A0A">
        <w:t xml:space="preserve"> </w:t>
      </w:r>
      <w:r w:rsidR="0069650E" w:rsidRPr="00045A0A">
        <w:t>accounts</w:t>
      </w:r>
      <w:r w:rsidR="000473F8" w:rsidRPr="00045A0A">
        <w:t xml:space="preserve">, and </w:t>
      </w:r>
      <w:r w:rsidR="00C9779E" w:rsidRPr="00045A0A">
        <w:t xml:space="preserve">also </w:t>
      </w:r>
      <w:r w:rsidR="000473F8" w:rsidRPr="00045A0A">
        <w:t xml:space="preserve">doubts </w:t>
      </w:r>
      <w:r w:rsidR="00C9779E" w:rsidRPr="00045A0A">
        <w:t>whether</w:t>
      </w:r>
      <w:r w:rsidR="000821B1" w:rsidRPr="00045A0A">
        <w:t xml:space="preserve"> </w:t>
      </w:r>
      <w:r w:rsidR="00343614" w:rsidRPr="00045A0A">
        <w:t xml:space="preserve">the results of </w:t>
      </w:r>
      <w:r w:rsidR="000821B1" w:rsidRPr="00045A0A">
        <w:t xml:space="preserve">such a complicated approach can be </w:t>
      </w:r>
      <w:r w:rsidR="00C9779E" w:rsidRPr="00045A0A">
        <w:t xml:space="preserve">easily </w:t>
      </w:r>
      <w:r w:rsidR="00343614" w:rsidRPr="00045A0A">
        <w:t>communicated to the public;</w:t>
      </w:r>
    </w:p>
    <w:p w:rsidR="005209DF" w:rsidRPr="00045A0A" w:rsidRDefault="005209DF" w:rsidP="00D00DE1"/>
    <w:p w:rsidR="005D5C51" w:rsidRPr="00045A0A" w:rsidRDefault="00690112">
      <w:pPr>
        <w:pStyle w:val="Heading1"/>
        <w:ind w:left="567" w:hanging="567"/>
      </w:pPr>
      <w:r w:rsidRPr="00045A0A">
        <w:t xml:space="preserve">supports, therefore, methods </w:t>
      </w:r>
      <w:r w:rsidR="00B81451" w:rsidRPr="00045A0A">
        <w:t>that complement GDP when</w:t>
      </w:r>
      <w:r w:rsidR="00C21019" w:rsidRPr="00045A0A">
        <w:t xml:space="preserve"> measuring progress </w:t>
      </w:r>
      <w:r w:rsidR="00770E6E" w:rsidRPr="00045A0A">
        <w:t>toward common strategic goal</w:t>
      </w:r>
      <w:r w:rsidR="004B0617" w:rsidRPr="00045A0A">
        <w:t>s,</w:t>
      </w:r>
      <w:r w:rsidR="00770E6E" w:rsidRPr="00045A0A">
        <w:t xml:space="preserve"> because such methods</w:t>
      </w:r>
      <w:r w:rsidRPr="00045A0A">
        <w:t xml:space="preserve"> </w:t>
      </w:r>
      <w:r w:rsidR="00C21019" w:rsidRPr="00045A0A">
        <w:t xml:space="preserve">acknowledge the multi-dimensional reality by covering different aspects </w:t>
      </w:r>
      <w:r w:rsidR="00EE766C" w:rsidRPr="00045A0A">
        <w:t xml:space="preserve">of well-being in economic, social and environmental domains with the help of a limited number of indices and </w:t>
      </w:r>
      <w:r w:rsidR="00C21019" w:rsidRPr="00045A0A">
        <w:t xml:space="preserve">without </w:t>
      </w:r>
      <w:r w:rsidR="00C748CB" w:rsidRPr="00045A0A">
        <w:t xml:space="preserve">defining </w:t>
      </w:r>
      <w:r w:rsidR="00EE766C" w:rsidRPr="00045A0A">
        <w:t xml:space="preserve">the </w:t>
      </w:r>
      <w:r w:rsidR="00C748CB" w:rsidRPr="00045A0A">
        <w:t xml:space="preserve">relative importance </w:t>
      </w:r>
      <w:r w:rsidR="00EE766C" w:rsidRPr="00045A0A">
        <w:t xml:space="preserve">of </w:t>
      </w:r>
      <w:r w:rsidR="00DE31BF" w:rsidRPr="00045A0A">
        <w:t>the different aspects;</w:t>
      </w:r>
    </w:p>
    <w:p w:rsidR="005D5C51" w:rsidRPr="00045A0A" w:rsidRDefault="005D5C51" w:rsidP="00D00DE1"/>
    <w:p w:rsidR="002270F2" w:rsidRPr="00045A0A" w:rsidRDefault="005D5C51">
      <w:pPr>
        <w:pStyle w:val="Heading1"/>
        <w:ind w:left="567" w:hanging="567"/>
      </w:pPr>
      <w:r w:rsidRPr="00045A0A">
        <w:t>b</w:t>
      </w:r>
      <w:r w:rsidR="002270F2" w:rsidRPr="00045A0A">
        <w:t xml:space="preserve">elieves, in this context, that the most </w:t>
      </w:r>
      <w:r w:rsidR="004B0617" w:rsidRPr="00045A0A">
        <w:t xml:space="preserve">suitable </w:t>
      </w:r>
      <w:r w:rsidR="002270F2" w:rsidRPr="00045A0A">
        <w:t xml:space="preserve">methodology for policy-making </w:t>
      </w:r>
      <w:r w:rsidR="004B0617" w:rsidRPr="00045A0A">
        <w:t>at</w:t>
      </w:r>
      <w:r w:rsidR="002270F2" w:rsidRPr="00045A0A">
        <w:t xml:space="preserve"> any governance level is one that </w:t>
      </w:r>
      <w:r w:rsidR="004B0617" w:rsidRPr="00045A0A">
        <w:t xml:space="preserve">comprehensively </w:t>
      </w:r>
      <w:r w:rsidR="002270F2" w:rsidRPr="00045A0A">
        <w:t>measures well-being, including econom</w:t>
      </w:r>
      <w:r w:rsidR="004B0617" w:rsidRPr="00045A0A">
        <w:t>ic</w:t>
      </w:r>
      <w:r w:rsidR="002270F2" w:rsidRPr="00045A0A">
        <w:t xml:space="preserve"> issues (</w:t>
      </w:r>
      <w:r w:rsidR="004B47FD" w:rsidRPr="00045A0A">
        <w:rPr>
          <w:i/>
        </w:rPr>
        <w:t>inter alia</w:t>
      </w:r>
      <w:r w:rsidR="004B47FD" w:rsidRPr="00045A0A">
        <w:t xml:space="preserve"> </w:t>
      </w:r>
      <w:r w:rsidR="002270F2" w:rsidRPr="00045A0A">
        <w:t>productivity, innovation, export</w:t>
      </w:r>
      <w:r w:rsidR="004B0617" w:rsidRPr="00045A0A">
        <w:t>s</w:t>
      </w:r>
      <w:r w:rsidR="002270F2" w:rsidRPr="00045A0A">
        <w:t>), labour (</w:t>
      </w:r>
      <w:r w:rsidR="004B47FD" w:rsidRPr="00045A0A">
        <w:rPr>
          <w:i/>
        </w:rPr>
        <w:t xml:space="preserve">inter alia </w:t>
      </w:r>
      <w:r w:rsidR="002270F2" w:rsidRPr="00045A0A">
        <w:t>employment rate, unemployment rate), environmental issues (</w:t>
      </w:r>
      <w:r w:rsidR="004B47FD" w:rsidRPr="00045A0A">
        <w:rPr>
          <w:i/>
        </w:rPr>
        <w:t>inter alia</w:t>
      </w:r>
      <w:r w:rsidR="004B47FD" w:rsidRPr="00045A0A">
        <w:t xml:space="preserve"> </w:t>
      </w:r>
      <w:r w:rsidR="002270F2" w:rsidRPr="00045A0A">
        <w:t xml:space="preserve">energy intensity of </w:t>
      </w:r>
      <w:r w:rsidR="004B0617" w:rsidRPr="00045A0A">
        <w:t xml:space="preserve">the </w:t>
      </w:r>
      <w:r w:rsidR="002270F2" w:rsidRPr="00045A0A">
        <w:t>econom</w:t>
      </w:r>
      <w:r w:rsidR="004B0617" w:rsidRPr="00045A0A">
        <w:t>y</w:t>
      </w:r>
      <w:r w:rsidR="002270F2" w:rsidRPr="00045A0A">
        <w:t>, share of renewable energy, CO</w:t>
      </w:r>
      <w:r w:rsidR="002270F2" w:rsidRPr="00045A0A">
        <w:rPr>
          <w:vertAlign w:val="subscript"/>
        </w:rPr>
        <w:t>2</w:t>
      </w:r>
      <w:r w:rsidR="002270F2" w:rsidRPr="00045A0A">
        <w:t xml:space="preserve"> emissions), socia</w:t>
      </w:r>
      <w:r w:rsidR="00A1424D" w:rsidRPr="00045A0A">
        <w:t>l inclusion (</w:t>
      </w:r>
      <w:r w:rsidR="004B47FD" w:rsidRPr="00045A0A">
        <w:rPr>
          <w:i/>
        </w:rPr>
        <w:t xml:space="preserve">inter alia </w:t>
      </w:r>
      <w:r w:rsidR="00A1424D" w:rsidRPr="00045A0A">
        <w:t>people at risk</w:t>
      </w:r>
      <w:r w:rsidR="002270F2" w:rsidRPr="00045A0A">
        <w:t xml:space="preserve"> of poverty or social exclusion, distribution of income); </w:t>
      </w:r>
    </w:p>
    <w:p w:rsidR="002270F2" w:rsidRPr="00045A0A" w:rsidRDefault="002270F2" w:rsidP="00D00DE1"/>
    <w:p w:rsidR="001E03C0" w:rsidRPr="00045A0A" w:rsidRDefault="002270F2">
      <w:pPr>
        <w:pStyle w:val="Heading1"/>
        <w:ind w:left="567" w:hanging="567"/>
      </w:pPr>
      <w:r w:rsidRPr="00045A0A">
        <w:t xml:space="preserve">suggests, moreover, that the choice of indicators </w:t>
      </w:r>
      <w:r w:rsidR="004B0617" w:rsidRPr="00045A0A">
        <w:t xml:space="preserve">should be </w:t>
      </w:r>
      <w:r w:rsidRPr="00045A0A">
        <w:t xml:space="preserve">oriented mainly </w:t>
      </w:r>
      <w:r w:rsidR="004B0617" w:rsidRPr="00045A0A">
        <w:t xml:space="preserve">towards </w:t>
      </w:r>
      <w:r w:rsidRPr="00045A0A">
        <w:t xml:space="preserve">those that measure the possible effects of the policies implemented, especially by measuring the results and impacts as well as the </w:t>
      </w:r>
      <w:r w:rsidR="004B0617" w:rsidRPr="00045A0A">
        <w:t>costs</w:t>
      </w:r>
      <w:r w:rsidRPr="00045A0A">
        <w:t>;</w:t>
      </w:r>
    </w:p>
    <w:p w:rsidR="001E03C0" w:rsidRPr="00045A0A" w:rsidRDefault="001E03C0">
      <w:pPr>
        <w:ind w:left="567" w:hanging="567"/>
        <w:rPr>
          <w:highlight w:val="yellow"/>
        </w:rPr>
      </w:pPr>
    </w:p>
    <w:p w:rsidR="001E03C0" w:rsidRPr="00045A0A" w:rsidRDefault="004B0617">
      <w:pPr>
        <w:pStyle w:val="Heading1"/>
        <w:ind w:left="567" w:hanging="567"/>
      </w:pPr>
      <w:r w:rsidRPr="00045A0A">
        <w:t xml:space="preserve">points out </w:t>
      </w:r>
      <w:r w:rsidR="005F2F27" w:rsidRPr="00045A0A">
        <w:t xml:space="preserve">that phenomena that are not measured might come as a surprise in the future. In this respect, citizens </w:t>
      </w:r>
      <w:r w:rsidRPr="00045A0A">
        <w:t xml:space="preserve">clearly expect </w:t>
      </w:r>
      <w:r w:rsidR="005F2F27" w:rsidRPr="00045A0A">
        <w:t>the Europe Union</w:t>
      </w:r>
      <w:r w:rsidRPr="00045A0A">
        <w:t>'s challenges to be</w:t>
      </w:r>
      <w:r w:rsidR="005F2F27" w:rsidRPr="00045A0A">
        <w:t xml:space="preserve"> recognised in a timely manner.</w:t>
      </w:r>
    </w:p>
    <w:p w:rsidR="001E03C0" w:rsidRPr="00045A0A" w:rsidRDefault="001E03C0">
      <w:pPr>
        <w:ind w:left="567" w:hanging="567"/>
        <w:outlineLvl w:val="0"/>
      </w:pPr>
    </w:p>
    <w:p w:rsidR="00255CA5" w:rsidRPr="00045A0A" w:rsidRDefault="001E03C0">
      <w:pPr>
        <w:pStyle w:val="Heading1"/>
        <w:ind w:left="567" w:hanging="567"/>
      </w:pPr>
      <w:r w:rsidRPr="00045A0A">
        <w:t xml:space="preserve">proposes, therefore, </w:t>
      </w:r>
      <w:r w:rsidR="00B916CC" w:rsidRPr="00045A0A">
        <w:t>that consideration be given to the establishment of</w:t>
      </w:r>
      <w:r w:rsidRPr="00045A0A">
        <w:t xml:space="preserve"> </w:t>
      </w:r>
      <w:r w:rsidR="00C15483" w:rsidRPr="00045A0A">
        <w:t xml:space="preserve">an </w:t>
      </w:r>
      <w:r w:rsidRPr="00045A0A">
        <w:t>EU</w:t>
      </w:r>
      <w:r w:rsidR="004B0617" w:rsidRPr="00045A0A">
        <w:t xml:space="preserve"> </w:t>
      </w:r>
      <w:r w:rsidRPr="00045A0A">
        <w:t>trends</w:t>
      </w:r>
      <w:r w:rsidR="004B0617" w:rsidRPr="00045A0A">
        <w:t xml:space="preserve"> </w:t>
      </w:r>
      <w:r w:rsidR="00C15483" w:rsidRPr="00045A0A">
        <w:t xml:space="preserve">observatory </w:t>
      </w:r>
      <w:r w:rsidR="00922340" w:rsidRPr="00045A0A">
        <w:t xml:space="preserve">involving </w:t>
      </w:r>
      <w:r w:rsidRPr="00045A0A">
        <w:t xml:space="preserve">cooperation between all </w:t>
      </w:r>
      <w:r w:rsidR="00922340" w:rsidRPr="00045A0A">
        <w:t xml:space="preserve">the </w:t>
      </w:r>
      <w:r w:rsidRPr="00045A0A">
        <w:t>EU</w:t>
      </w:r>
      <w:r w:rsidR="00922340" w:rsidRPr="00045A0A">
        <w:t xml:space="preserve"> i</w:t>
      </w:r>
      <w:r w:rsidRPr="00045A0A">
        <w:t>nstitutions</w:t>
      </w:r>
      <w:r w:rsidR="00922340" w:rsidRPr="00045A0A">
        <w:t>,</w:t>
      </w:r>
      <w:r w:rsidRPr="00045A0A">
        <w:t xml:space="preserve"> </w:t>
      </w:r>
      <w:r w:rsidR="00F44973" w:rsidRPr="00045A0A">
        <w:t>follow</w:t>
      </w:r>
      <w:r w:rsidR="00922340" w:rsidRPr="00045A0A">
        <w:t>ing</w:t>
      </w:r>
      <w:r w:rsidR="00C15483" w:rsidRPr="00045A0A">
        <w:t xml:space="preserve"> up the valuable work </w:t>
      </w:r>
      <w:r w:rsidR="00922340" w:rsidRPr="00045A0A">
        <w:t xml:space="preserve">done </w:t>
      </w:r>
      <w:r w:rsidR="00D04279" w:rsidRPr="00045A0A">
        <w:t>by the European Strategy and Policy Analysis System</w:t>
      </w:r>
      <w:r w:rsidR="00F44973" w:rsidRPr="00045A0A">
        <w:t xml:space="preserve"> (ESPAS)</w:t>
      </w:r>
      <w:r w:rsidR="00922340" w:rsidRPr="00045A0A">
        <w:t>,</w:t>
      </w:r>
      <w:r w:rsidR="00D04279" w:rsidRPr="00045A0A">
        <w:t xml:space="preserve"> </w:t>
      </w:r>
      <w:r w:rsidR="00F44973" w:rsidRPr="00045A0A">
        <w:t>an</w:t>
      </w:r>
      <w:r w:rsidR="00922340" w:rsidRPr="00045A0A">
        <w:t>d</w:t>
      </w:r>
      <w:r w:rsidR="00F44973" w:rsidRPr="00045A0A">
        <w:t xml:space="preserve"> provid</w:t>
      </w:r>
      <w:r w:rsidR="00922340" w:rsidRPr="00045A0A">
        <w:t>ing</w:t>
      </w:r>
      <w:r w:rsidR="00F44973" w:rsidRPr="00045A0A">
        <w:t xml:space="preserve"> an early warning system for all government levels concerning </w:t>
      </w:r>
      <w:r w:rsidR="003B3020" w:rsidRPr="00045A0A">
        <w:t xml:space="preserve">economic, social or environmental </w:t>
      </w:r>
      <w:r w:rsidR="00F44973" w:rsidRPr="00045A0A">
        <w:t xml:space="preserve">trends </w:t>
      </w:r>
      <w:r w:rsidR="003B3020" w:rsidRPr="00045A0A">
        <w:t xml:space="preserve">of European relevance </w:t>
      </w:r>
      <w:r w:rsidR="00922340" w:rsidRPr="00045A0A">
        <w:t xml:space="preserve">that </w:t>
      </w:r>
      <w:r w:rsidR="003B3020" w:rsidRPr="00045A0A">
        <w:t xml:space="preserve">might have an effect </w:t>
      </w:r>
      <w:r w:rsidR="00922340" w:rsidRPr="00045A0A">
        <w:t>on</w:t>
      </w:r>
      <w:r w:rsidR="003B3020" w:rsidRPr="00045A0A">
        <w:t xml:space="preserve"> strategic goals or require an adjustment of strategic priorities;</w:t>
      </w:r>
    </w:p>
    <w:p w:rsidR="00633E89" w:rsidRPr="00045A0A" w:rsidRDefault="00633E89" w:rsidP="00D00DE1"/>
    <w:p w:rsidR="00B81451" w:rsidRPr="00045A0A" w:rsidRDefault="005F13F7" w:rsidP="00D00DE1">
      <w:pPr>
        <w:keepNext/>
        <w:rPr>
          <w:b/>
        </w:rPr>
      </w:pPr>
      <w:r w:rsidRPr="00045A0A">
        <w:rPr>
          <w:b/>
        </w:rPr>
        <w:t xml:space="preserve">Review of Europe 2020 and </w:t>
      </w:r>
      <w:r w:rsidR="009B13E2" w:rsidRPr="00045A0A">
        <w:rPr>
          <w:b/>
        </w:rPr>
        <w:t>future of Cohesion Policy</w:t>
      </w:r>
    </w:p>
    <w:p w:rsidR="00CE67ED" w:rsidRPr="00045A0A" w:rsidRDefault="00CE67ED" w:rsidP="00D00DE1">
      <w:pPr>
        <w:keepNext/>
      </w:pPr>
    </w:p>
    <w:p w:rsidR="00DA5A82" w:rsidRPr="00045A0A" w:rsidRDefault="007D0A42">
      <w:pPr>
        <w:pStyle w:val="Heading1"/>
        <w:ind w:left="567" w:hanging="567"/>
      </w:pPr>
      <w:r w:rsidRPr="00045A0A">
        <w:t xml:space="preserve">emphasises </w:t>
      </w:r>
      <w:r w:rsidR="00CE67ED" w:rsidRPr="00045A0A">
        <w:t>that the Europe 2020 strategy has</w:t>
      </w:r>
      <w:r w:rsidR="00047EAB" w:rsidRPr="00045A0A">
        <w:t xml:space="preserve"> established a set of targets with associated key indicators</w:t>
      </w:r>
      <w:r w:rsidR="00CE67ED" w:rsidRPr="00045A0A">
        <w:t xml:space="preserve"> </w:t>
      </w:r>
      <w:r w:rsidR="00047EAB" w:rsidRPr="00045A0A">
        <w:t>and</w:t>
      </w:r>
      <w:r w:rsidR="00CE67ED" w:rsidRPr="00045A0A">
        <w:t xml:space="preserve"> acknowledged the importance of complementing data on short/mid-term economic growth (GDP) with further economic, social and environmental indicators to measure sustainable progress; adds that this finding </w:t>
      </w:r>
      <w:r w:rsidR="00A21DE6" w:rsidRPr="00045A0A">
        <w:t xml:space="preserve">is equally valid </w:t>
      </w:r>
      <w:r w:rsidR="00742DB4" w:rsidRPr="00045A0A">
        <w:t>at</w:t>
      </w:r>
      <w:r w:rsidR="00CE67ED" w:rsidRPr="00045A0A">
        <w:t xml:space="preserve"> subnational levels;</w:t>
      </w:r>
    </w:p>
    <w:p w:rsidR="00CA77EF" w:rsidRPr="00045A0A" w:rsidRDefault="00CA77EF">
      <w:pPr>
        <w:ind w:left="567" w:hanging="567"/>
      </w:pPr>
    </w:p>
    <w:p w:rsidR="00CA77EF" w:rsidRPr="00045A0A" w:rsidRDefault="00CA77EF">
      <w:pPr>
        <w:pStyle w:val="Heading1"/>
        <w:ind w:left="567" w:hanging="567"/>
      </w:pPr>
      <w:r w:rsidRPr="00045A0A">
        <w:t>underlines that the process of setting the Europe 2020 targets and selecting the indicators to measure its progress was very much top-down</w:t>
      </w:r>
      <w:r w:rsidR="009C3804" w:rsidRPr="00045A0A">
        <w:t>,</w:t>
      </w:r>
      <w:r w:rsidRPr="00045A0A">
        <w:t xml:space="preserve"> without taking into account the specific situation at local and regional level</w:t>
      </w:r>
      <w:r w:rsidR="009C3804" w:rsidRPr="00045A0A">
        <w:t>. By</w:t>
      </w:r>
      <w:r w:rsidRPr="00045A0A">
        <w:t xml:space="preserve"> contrast, territorially differentiated needs and objectives are acknowledged by Cohesion Policy, because the pursuit of overall EU targets </w:t>
      </w:r>
      <w:r w:rsidR="009C3804" w:rsidRPr="00045A0A">
        <w:t>should</w:t>
      </w:r>
      <w:r w:rsidRPr="00045A0A">
        <w:t xml:space="preserve"> not limit the development potential of a specific region or municipality </w:t>
      </w:r>
      <w:r w:rsidR="009C3804" w:rsidRPr="00045A0A">
        <w:t>on the basis of</w:t>
      </w:r>
      <w:r w:rsidRPr="00045A0A">
        <w:t xml:space="preserve"> region-specific knowledge and competences;</w:t>
      </w:r>
      <w:r w:rsidR="0037371C" w:rsidRPr="00045A0A">
        <w:t xml:space="preserve"> this is why, in the context of the Europe 2020 strategy, the CoR is calling for regionali</w:t>
      </w:r>
      <w:r w:rsidR="009C3804" w:rsidRPr="00045A0A">
        <w:t>s</w:t>
      </w:r>
      <w:r w:rsidR="0037371C" w:rsidRPr="00045A0A">
        <w:t>ed targets;</w:t>
      </w:r>
    </w:p>
    <w:p w:rsidR="00CA77EF" w:rsidRPr="00045A0A" w:rsidRDefault="00CA77EF">
      <w:pPr>
        <w:ind w:left="567" w:hanging="567"/>
      </w:pPr>
    </w:p>
    <w:p w:rsidR="00CA77EF" w:rsidRPr="00045A0A" w:rsidRDefault="00CA77EF">
      <w:pPr>
        <w:pStyle w:val="Heading1"/>
        <w:ind w:left="567" w:hanging="567"/>
      </w:pPr>
      <w:r w:rsidRPr="00045A0A">
        <w:t xml:space="preserve">points out the close alignment of the Cohesion Policy with the Europe 2020 strategy but criticises the </w:t>
      </w:r>
      <w:r w:rsidR="009C3804" w:rsidRPr="00045A0A">
        <w:t>mismatch between the</w:t>
      </w:r>
      <w:r w:rsidRPr="00045A0A">
        <w:t xml:space="preserve"> measurement and intervention </w:t>
      </w:r>
      <w:r w:rsidR="009C3804" w:rsidRPr="00045A0A">
        <w:t xml:space="preserve">methods </w:t>
      </w:r>
      <w:r w:rsidRPr="00045A0A">
        <w:t>of the Europe 2020 strategy on the one hand and the Cohesion Policy on the other;</w:t>
      </w:r>
    </w:p>
    <w:p w:rsidR="00CA77EF" w:rsidRPr="00045A0A" w:rsidRDefault="00CA77EF" w:rsidP="00D00DE1">
      <w:pPr>
        <w:ind w:left="567" w:hanging="567"/>
      </w:pPr>
    </w:p>
    <w:p w:rsidR="003B0742" w:rsidRPr="00045A0A" w:rsidRDefault="00CA77EF">
      <w:pPr>
        <w:pStyle w:val="Heading1"/>
        <w:ind w:left="567" w:hanging="567"/>
      </w:pPr>
      <w:r w:rsidRPr="00045A0A">
        <w:t xml:space="preserve">reminds the European Commission that the territorial dimension should be better highlighted in a revised Europe 2020 strategy, especially in the context of territorial cohesion, where the development of relevant economic, environmental and social indicators could enhance the quality of local and regional policies; </w:t>
      </w:r>
      <w:r w:rsidR="000D18AB" w:rsidRPr="00045A0A">
        <w:t>s</w:t>
      </w:r>
      <w:r w:rsidRPr="00045A0A">
        <w:t xml:space="preserve">uch strategies </w:t>
      </w:r>
      <w:r w:rsidR="00EE2E7A" w:rsidRPr="00045A0A">
        <w:t>should</w:t>
      </w:r>
      <w:r w:rsidRPr="00045A0A">
        <w:t xml:space="preserve"> make use of methods that are based on a multi-dimensional approach</w:t>
      </w:r>
      <w:r w:rsidR="00EE2E7A" w:rsidRPr="00045A0A">
        <w:t>,</w:t>
      </w:r>
      <w:r w:rsidRPr="00045A0A">
        <w:t xml:space="preserve"> where GDP or other economic indicators are complemented by measures of social and environmental aspects that have been politically endorsed </w:t>
      </w:r>
      <w:r w:rsidR="00EE2E7A" w:rsidRPr="00045A0A">
        <w:t xml:space="preserve">at </w:t>
      </w:r>
      <w:r w:rsidRPr="00045A0A">
        <w:t>all governance levels</w:t>
      </w:r>
    </w:p>
    <w:p w:rsidR="003B0742" w:rsidRPr="00045A0A" w:rsidRDefault="003B0742">
      <w:pPr>
        <w:ind w:left="567" w:hanging="567"/>
      </w:pPr>
    </w:p>
    <w:p w:rsidR="003B0742" w:rsidRPr="00045A0A" w:rsidRDefault="00EE2E7A">
      <w:pPr>
        <w:pStyle w:val="Heading1"/>
        <w:ind w:left="567" w:hanging="567"/>
      </w:pPr>
      <w:r w:rsidRPr="00045A0A">
        <w:t xml:space="preserve">points out </w:t>
      </w:r>
      <w:r w:rsidR="00D543BE" w:rsidRPr="00045A0A">
        <w:t>that</w:t>
      </w:r>
      <w:r w:rsidRPr="00045A0A">
        <w:t>,</w:t>
      </w:r>
      <w:r w:rsidR="00D543BE" w:rsidRPr="00045A0A">
        <w:t xml:space="preserve"> in context of the strong incentives for thematic concentration of financial resources f</w:t>
      </w:r>
      <w:r w:rsidRPr="00045A0A">
        <w:t>ro</w:t>
      </w:r>
      <w:r w:rsidR="00D543BE" w:rsidRPr="00045A0A">
        <w:t xml:space="preserve">m the Structural Funds on a limited number of policy areas </w:t>
      </w:r>
      <w:r w:rsidRPr="00045A0A">
        <w:t xml:space="preserve">that </w:t>
      </w:r>
      <w:r w:rsidR="00D543BE" w:rsidRPr="00045A0A">
        <w:t>contribute to the pursuit of Europe 2020 strategy, it is reasonable to assume that the success of Cohesion Policy will be measured by progress towards meeting the Europe 2020 targets;</w:t>
      </w:r>
    </w:p>
    <w:p w:rsidR="003B0742" w:rsidRPr="00045A0A" w:rsidRDefault="003B0742" w:rsidP="00D00DE1">
      <w:pPr>
        <w:ind w:left="567" w:hanging="567"/>
      </w:pPr>
    </w:p>
    <w:p w:rsidR="006F6A08" w:rsidRPr="00045A0A" w:rsidRDefault="00D84F87">
      <w:pPr>
        <w:pStyle w:val="Heading1"/>
        <w:ind w:left="567" w:hanging="567"/>
      </w:pPr>
      <w:r w:rsidRPr="00045A0A">
        <w:t>underlines</w:t>
      </w:r>
      <w:r w:rsidR="006E5613" w:rsidRPr="00045A0A">
        <w:t>, nonetheless,</w:t>
      </w:r>
      <w:r w:rsidR="000870B3" w:rsidRPr="00045A0A">
        <w:t xml:space="preserve"> </w:t>
      </w:r>
      <w:r w:rsidR="00EE2E7A" w:rsidRPr="00045A0A">
        <w:t xml:space="preserve">that </w:t>
      </w:r>
      <w:r w:rsidR="000870B3" w:rsidRPr="00045A0A">
        <w:t xml:space="preserve">a number of EU instruments are still based on </w:t>
      </w:r>
      <w:r w:rsidR="00FD07DA" w:rsidRPr="00045A0A">
        <w:t>a</w:t>
      </w:r>
      <w:r w:rsidR="00EE2E7A" w:rsidRPr="00045A0A">
        <w:t>n</w:t>
      </w:r>
      <w:r w:rsidR="00FD07DA" w:rsidRPr="00045A0A">
        <w:t xml:space="preserve"> </w:t>
      </w:r>
      <w:r w:rsidR="00EE2E7A" w:rsidRPr="00045A0A">
        <w:t xml:space="preserve">excessively </w:t>
      </w:r>
      <w:r w:rsidR="00FD07DA" w:rsidRPr="00045A0A">
        <w:t>narrow economic measure</w:t>
      </w:r>
      <w:r w:rsidR="00BB4F2B" w:rsidRPr="00045A0A">
        <w:t xml:space="preserve">. This </w:t>
      </w:r>
      <w:r w:rsidR="00EE2E7A" w:rsidRPr="00045A0A">
        <w:t xml:space="preserve">also </w:t>
      </w:r>
      <w:r w:rsidR="00BB4F2B" w:rsidRPr="00045A0A">
        <w:t xml:space="preserve">concerns </w:t>
      </w:r>
      <w:r w:rsidR="000870B3" w:rsidRPr="00045A0A">
        <w:t xml:space="preserve">Cohesion Policy, </w:t>
      </w:r>
      <w:r w:rsidR="00CA7D94" w:rsidRPr="00045A0A">
        <w:t xml:space="preserve">where </w:t>
      </w:r>
      <w:r w:rsidR="006F49BF" w:rsidRPr="00045A0A">
        <w:t xml:space="preserve">funds are distributed </w:t>
      </w:r>
      <w:r w:rsidR="00F562DF" w:rsidRPr="00045A0A">
        <w:t xml:space="preserve">between Member States </w:t>
      </w:r>
      <w:r w:rsidR="006F49BF" w:rsidRPr="00045A0A">
        <w:t>according to per</w:t>
      </w:r>
      <w:r w:rsidR="00EE2E7A" w:rsidRPr="00045A0A">
        <w:t xml:space="preserve"> </w:t>
      </w:r>
      <w:r w:rsidR="006F49BF" w:rsidRPr="00045A0A">
        <w:t>capita GDP and unempl</w:t>
      </w:r>
      <w:r w:rsidR="00BB4F2B" w:rsidRPr="00045A0A">
        <w:t>oyment</w:t>
      </w:r>
      <w:r w:rsidR="00F562DF" w:rsidRPr="00045A0A">
        <w:t>,</w:t>
      </w:r>
      <w:r w:rsidR="00BB4F2B" w:rsidRPr="00045A0A">
        <w:t xml:space="preserve"> </w:t>
      </w:r>
      <w:r w:rsidR="00DF5BA4" w:rsidRPr="00045A0A">
        <w:t>whereas the</w:t>
      </w:r>
      <w:r w:rsidR="00BB4F2B" w:rsidRPr="00045A0A">
        <w:t xml:space="preserve"> </w:t>
      </w:r>
      <w:r w:rsidR="003B1325" w:rsidRPr="00045A0A">
        <w:t xml:space="preserve">classification of NUTS level 2 regions under one of the three development categories determining the </w:t>
      </w:r>
      <w:r w:rsidR="006F6A08" w:rsidRPr="00045A0A">
        <w:t>allocation of appropriations</w:t>
      </w:r>
      <w:r w:rsidR="00222F85" w:rsidRPr="00045A0A">
        <w:t xml:space="preserve"> is based solely on per</w:t>
      </w:r>
      <w:r w:rsidR="007A3935" w:rsidRPr="00045A0A">
        <w:t xml:space="preserve"> </w:t>
      </w:r>
      <w:r w:rsidR="00222F85" w:rsidRPr="00045A0A">
        <w:t>capita GDP;</w:t>
      </w:r>
    </w:p>
    <w:p w:rsidR="006F6A08" w:rsidRPr="00045A0A" w:rsidRDefault="006F6A08" w:rsidP="00D00DE1"/>
    <w:p w:rsidR="000870B3" w:rsidRPr="00045A0A" w:rsidRDefault="006F6A08">
      <w:pPr>
        <w:pStyle w:val="Heading1"/>
        <w:ind w:left="567" w:hanging="567"/>
      </w:pPr>
      <w:r w:rsidRPr="00045A0A">
        <w:t>points out that, c</w:t>
      </w:r>
      <w:r w:rsidR="000870B3" w:rsidRPr="00045A0A">
        <w:t xml:space="preserve">onsequently, </w:t>
      </w:r>
      <w:r w:rsidRPr="00045A0A">
        <w:t xml:space="preserve">eligibility decisions are basically </w:t>
      </w:r>
      <w:r w:rsidR="000870B3" w:rsidRPr="00045A0A">
        <w:t>blind to social and environmental aspects across European regions, while the logical step would be to base future instruments on a more comprehensive</w:t>
      </w:r>
      <w:r w:rsidR="007A3935" w:rsidRPr="00045A0A">
        <w:t>,</w:t>
      </w:r>
      <w:r w:rsidR="000870B3" w:rsidRPr="00045A0A">
        <w:t xml:space="preserve"> uniform method</w:t>
      </w:r>
      <w:r w:rsidR="007A3935" w:rsidRPr="00045A0A">
        <w:t>,</w:t>
      </w:r>
      <w:r w:rsidR="000870B3" w:rsidRPr="00045A0A">
        <w:t xml:space="preserve"> making increased use of social and environmental indicators;</w:t>
      </w:r>
    </w:p>
    <w:p w:rsidR="000870B3" w:rsidRPr="00045A0A" w:rsidRDefault="000870B3" w:rsidP="00D00DE1"/>
    <w:p w:rsidR="007E4FDF" w:rsidRPr="00045A0A" w:rsidRDefault="000870B3">
      <w:pPr>
        <w:pStyle w:val="Heading1"/>
        <w:ind w:left="567" w:hanging="567"/>
      </w:pPr>
      <w:r w:rsidRPr="00045A0A">
        <w:t>stresses in this respect that the application of the Structural Funds, including the Cohesion Fund, cannot and should not be based almost solely on per capita GDP in the next multiannual financial period;</w:t>
      </w:r>
      <w:r w:rsidR="0037371C" w:rsidRPr="00045A0A">
        <w:t xml:space="preserve"> </w:t>
      </w:r>
    </w:p>
    <w:p w:rsidR="00655140" w:rsidRPr="00045A0A" w:rsidRDefault="00655140" w:rsidP="00D00DE1"/>
    <w:p w:rsidR="00DE6C67" w:rsidRPr="00045A0A" w:rsidRDefault="00DE6C67" w:rsidP="00D00DE1">
      <w:pPr>
        <w:keepNext/>
        <w:rPr>
          <w:b/>
        </w:rPr>
      </w:pPr>
      <w:r w:rsidRPr="00045A0A">
        <w:rPr>
          <w:b/>
        </w:rPr>
        <w:t>Next steps for enabling a strategy based on GDP and beyond</w:t>
      </w:r>
    </w:p>
    <w:p w:rsidR="00655140" w:rsidRPr="00045A0A" w:rsidRDefault="00655140" w:rsidP="00D00DE1">
      <w:pPr>
        <w:keepNext/>
      </w:pPr>
    </w:p>
    <w:p w:rsidR="00F93D0F" w:rsidRPr="00045A0A" w:rsidRDefault="00F93D0F">
      <w:pPr>
        <w:pStyle w:val="Heading1"/>
        <w:ind w:left="567" w:hanging="567"/>
      </w:pPr>
      <w:r w:rsidRPr="00045A0A">
        <w:t xml:space="preserve">acknowledges, at the same time, the legitimacy of headline targets for achieving </w:t>
      </w:r>
      <w:r w:rsidR="0051683C" w:rsidRPr="00045A0A">
        <w:t xml:space="preserve">comprehensive </w:t>
      </w:r>
      <w:r w:rsidRPr="00045A0A">
        <w:t xml:space="preserve">strategic goals and </w:t>
      </w:r>
      <w:r w:rsidR="007A3935" w:rsidRPr="00045A0A">
        <w:t>points out</w:t>
      </w:r>
      <w:r w:rsidRPr="00045A0A">
        <w:t xml:space="preserve"> that</w:t>
      </w:r>
      <w:r w:rsidR="007A3935" w:rsidRPr="00045A0A">
        <w:t>,</w:t>
      </w:r>
      <w:r w:rsidRPr="00045A0A">
        <w:t xml:space="preserve"> for monitoring progress, target-relevant, harmonised and comparable regional data have to be available in a timely manner;</w:t>
      </w:r>
    </w:p>
    <w:p w:rsidR="00F93D0F" w:rsidRPr="00045A0A" w:rsidRDefault="00F93D0F" w:rsidP="00D00DE1"/>
    <w:p w:rsidR="003B0742" w:rsidRPr="00045A0A" w:rsidRDefault="0037371C">
      <w:pPr>
        <w:pStyle w:val="Heading1"/>
        <w:ind w:left="567" w:hanging="567"/>
      </w:pPr>
      <w:r w:rsidRPr="00045A0A">
        <w:t>underlines, in this context, that the availability of indicators and of frequent</w:t>
      </w:r>
      <w:r w:rsidR="007A3935" w:rsidRPr="00045A0A">
        <w:t>ly</w:t>
      </w:r>
      <w:r w:rsidRPr="00045A0A">
        <w:t xml:space="preserve"> updated data at a regional level is essential to improving the accountability of the technical proposal and making good political decisions; this statistical gap represents a major challenge for regional and local policymakers and for the multi-level implementation of Europe 2020 and </w:t>
      </w:r>
      <w:r w:rsidR="00742F35" w:rsidRPr="00045A0A">
        <w:t>C</w:t>
      </w:r>
      <w:r w:rsidRPr="00045A0A">
        <w:t xml:space="preserve">ohesion </w:t>
      </w:r>
      <w:r w:rsidR="00742F35" w:rsidRPr="00045A0A">
        <w:t>P</w:t>
      </w:r>
      <w:r w:rsidRPr="00045A0A">
        <w:t>olicy and should be urgently addressed by the European Commission and by Eurostat;</w:t>
      </w:r>
    </w:p>
    <w:p w:rsidR="003B0742" w:rsidRPr="00045A0A" w:rsidRDefault="003B0742" w:rsidP="00D00DE1"/>
    <w:p w:rsidR="00ED3BAF" w:rsidRPr="00045A0A" w:rsidRDefault="007E4FDF">
      <w:pPr>
        <w:pStyle w:val="Heading1"/>
        <w:ind w:left="567" w:hanging="567"/>
      </w:pPr>
      <w:r w:rsidRPr="00045A0A">
        <w:t xml:space="preserve">welcomes, </w:t>
      </w:r>
      <w:r w:rsidR="00F93D0F" w:rsidRPr="00045A0A">
        <w:t xml:space="preserve">in this respect, </w:t>
      </w:r>
      <w:r w:rsidRPr="00045A0A">
        <w:t xml:space="preserve">the progress made by the Commission concerning its 2009 Roadmap </w:t>
      </w:r>
      <w:r w:rsidR="007A3935" w:rsidRPr="00045A0A">
        <w:t>for</w:t>
      </w:r>
      <w:r w:rsidRPr="00045A0A">
        <w:t xml:space="preserve"> "Measuring progress in a changing world" but regrets that little improvement ha</w:t>
      </w:r>
      <w:r w:rsidR="007A3935" w:rsidRPr="00045A0A">
        <w:t>s</w:t>
      </w:r>
      <w:r w:rsidRPr="00045A0A">
        <w:t xml:space="preserve"> been achieved in the production and dissemination of regional and local data;</w:t>
      </w:r>
    </w:p>
    <w:p w:rsidR="00ED3BAF" w:rsidRPr="00045A0A" w:rsidRDefault="00ED3BAF" w:rsidP="00D00DE1"/>
    <w:p w:rsidR="00B70CD3" w:rsidRPr="00045A0A" w:rsidRDefault="00B70CD3">
      <w:pPr>
        <w:pStyle w:val="Heading1"/>
        <w:ind w:left="567" w:hanging="567"/>
      </w:pPr>
      <w:r w:rsidRPr="00045A0A">
        <w:t xml:space="preserve">urges </w:t>
      </w:r>
      <w:r w:rsidR="00ED3BAF" w:rsidRPr="00045A0A">
        <w:t xml:space="preserve">the European Statistical System to </w:t>
      </w:r>
      <w:r w:rsidR="00426987" w:rsidRPr="00045A0A">
        <w:t xml:space="preserve">further enhance the quality of administrative data as well as to </w:t>
      </w:r>
      <w:r w:rsidR="00F768CE" w:rsidRPr="00045A0A">
        <w:t xml:space="preserve">accelerate the </w:t>
      </w:r>
      <w:r w:rsidR="00426987" w:rsidRPr="00045A0A">
        <w:t>implement</w:t>
      </w:r>
      <w:r w:rsidR="00F768CE" w:rsidRPr="00045A0A">
        <w:t>ation of geo-referencing</w:t>
      </w:r>
      <w:r w:rsidR="00BC6ED6" w:rsidRPr="00045A0A">
        <w:t xml:space="preserve"> statistics</w:t>
      </w:r>
      <w:r w:rsidR="00DC4FFD" w:rsidRPr="00045A0A">
        <w:t xml:space="preserve"> in order to increase the </w:t>
      </w:r>
      <w:r w:rsidR="00F768CE" w:rsidRPr="00045A0A">
        <w:t>value of data</w:t>
      </w:r>
      <w:r w:rsidR="0085738B" w:rsidRPr="00045A0A">
        <w:t xml:space="preserve"> </w:t>
      </w:r>
      <w:r w:rsidR="00F768CE" w:rsidRPr="00045A0A">
        <w:t>collections</w:t>
      </w:r>
      <w:r w:rsidR="0085738B" w:rsidRPr="00045A0A">
        <w:t xml:space="preserve"> and to lower the respondents' burden;</w:t>
      </w:r>
    </w:p>
    <w:p w:rsidR="00655140" w:rsidRPr="00045A0A" w:rsidRDefault="00655140" w:rsidP="00D00DE1"/>
    <w:p w:rsidR="00F93D0F" w:rsidRPr="00045A0A" w:rsidRDefault="00655140">
      <w:pPr>
        <w:pStyle w:val="Heading1"/>
        <w:ind w:left="567" w:hanging="567"/>
      </w:pPr>
      <w:r w:rsidRPr="00045A0A">
        <w:t>welcomes the fact that</w:t>
      </w:r>
      <w:r w:rsidR="007A3935" w:rsidRPr="00045A0A">
        <w:t>,</w:t>
      </w:r>
      <w:r w:rsidRPr="00045A0A">
        <w:t xml:space="preserve"> since the last CoR Opinion on "beyond GDP"</w:t>
      </w:r>
      <w:r w:rsidR="007A3935" w:rsidRPr="00045A0A">
        <w:t>,</w:t>
      </w:r>
      <w:r w:rsidRPr="00045A0A">
        <w:t xml:space="preserve"> the data available</w:t>
      </w:r>
      <w:r w:rsidR="00B70CD3" w:rsidRPr="00045A0A">
        <w:t xml:space="preserve"> at EU level</w:t>
      </w:r>
      <w:r w:rsidR="007A3935" w:rsidRPr="00045A0A">
        <w:t>,</w:t>
      </w:r>
      <w:r w:rsidRPr="00045A0A">
        <w:t xml:space="preserve"> particularly with regard to the local and regional level</w:t>
      </w:r>
      <w:r w:rsidR="007A3935" w:rsidRPr="00045A0A">
        <w:t>,</w:t>
      </w:r>
      <w:r w:rsidRPr="00045A0A">
        <w:t xml:space="preserve"> has steadily grown</w:t>
      </w:r>
      <w:r w:rsidR="007A3935" w:rsidRPr="00045A0A">
        <w:t>,</w:t>
      </w:r>
      <w:r w:rsidRPr="00045A0A">
        <w:t xml:space="preserve"> but regrets that it still contains significant gaps</w:t>
      </w:r>
      <w:r w:rsidR="007A3935" w:rsidRPr="00045A0A">
        <w:t>;</w:t>
      </w:r>
      <w:r w:rsidRPr="00045A0A">
        <w:t xml:space="preserve"> </w:t>
      </w:r>
      <w:r w:rsidR="007A3935" w:rsidRPr="00045A0A">
        <w:t>t</w:t>
      </w:r>
      <w:r w:rsidRPr="00045A0A">
        <w:t xml:space="preserve">herefore suggests that the European Commission provide – as early as possible – an analysis of the current and future gaps in </w:t>
      </w:r>
      <w:r w:rsidR="007A3935" w:rsidRPr="00045A0A">
        <w:t xml:space="preserve">the provision of </w:t>
      </w:r>
      <w:r w:rsidRPr="00045A0A">
        <w:t>a comprehensive set of economic, social and environmental data in Europe</w:t>
      </w:r>
      <w:r w:rsidR="00FC54D0" w:rsidRPr="00045A0A">
        <w:t>,</w:t>
      </w:r>
      <w:r w:rsidRPr="00045A0A">
        <w:t xml:space="preserve"> going beyond GDP;</w:t>
      </w:r>
    </w:p>
    <w:p w:rsidR="00F93D0F" w:rsidRPr="00045A0A" w:rsidRDefault="00F93D0F" w:rsidP="00D00DE1"/>
    <w:p w:rsidR="00F93D0F" w:rsidRPr="00045A0A" w:rsidRDefault="007A3935">
      <w:pPr>
        <w:pStyle w:val="Heading1"/>
        <w:ind w:left="567" w:hanging="567"/>
      </w:pPr>
      <w:r w:rsidRPr="00045A0A">
        <w:t xml:space="preserve">particularly </w:t>
      </w:r>
      <w:r w:rsidR="00F93D0F" w:rsidRPr="00045A0A">
        <w:t>regrets</w:t>
      </w:r>
      <w:r w:rsidR="00655140" w:rsidRPr="00045A0A">
        <w:t>,</w:t>
      </w:r>
      <w:r w:rsidR="00F93D0F" w:rsidRPr="00045A0A">
        <w:t xml:space="preserve"> in this regard</w:t>
      </w:r>
      <w:r w:rsidR="00655140" w:rsidRPr="00045A0A">
        <w:t>,</w:t>
      </w:r>
      <w:r w:rsidR="00F93D0F" w:rsidRPr="00045A0A">
        <w:t xml:space="preserve"> that currently </w:t>
      </w:r>
      <w:r w:rsidRPr="00045A0A">
        <w:t xml:space="preserve">the </w:t>
      </w:r>
      <w:r w:rsidR="00F93D0F" w:rsidRPr="00045A0A">
        <w:t>regionalisation of Europe 2020 indicators is not satisfactory</w:t>
      </w:r>
      <w:r w:rsidRPr="00045A0A">
        <w:t>,</w:t>
      </w:r>
      <w:r w:rsidR="00F93D0F" w:rsidRPr="00045A0A">
        <w:t xml:space="preserve"> because only some of the indicators needed to track the Europe 2020 headline targets at regional level (NUTS </w:t>
      </w:r>
      <w:r w:rsidR="00B70CD3" w:rsidRPr="00045A0A">
        <w:t xml:space="preserve">level </w:t>
      </w:r>
      <w:r w:rsidR="00F93D0F" w:rsidRPr="00045A0A">
        <w:t xml:space="preserve">2 and 3) are available, </w:t>
      </w:r>
      <w:r w:rsidRPr="00045A0A">
        <w:t xml:space="preserve">and </w:t>
      </w:r>
      <w:r w:rsidR="00F93D0F" w:rsidRPr="00045A0A">
        <w:t>sometimes with a considerable time lag. The same applies to the alternative indicators that regions and cities might deem necessary in their territories as a pre-condition for progress towards the EU goals and targets. Updated regional statistics would make it possible to build a synthetic Regional Progress Indicator, as proposed by the Committee of the Regions;</w:t>
      </w:r>
    </w:p>
    <w:p w:rsidR="00F93D0F" w:rsidRPr="00045A0A" w:rsidRDefault="00F93D0F" w:rsidP="00D00DE1"/>
    <w:p w:rsidR="00655140" w:rsidRPr="00045A0A" w:rsidRDefault="00F93D0F">
      <w:pPr>
        <w:pStyle w:val="Heading1"/>
        <w:ind w:left="567" w:hanging="567"/>
      </w:pPr>
      <w:r w:rsidRPr="00045A0A">
        <w:t>requests the European Commission/Eurostat to set out a timeline to engage the local and regional authorities in the process of (realistic) target</w:t>
      </w:r>
      <w:r w:rsidR="007A3935" w:rsidRPr="00045A0A">
        <w:t>-</w:t>
      </w:r>
      <w:r w:rsidRPr="00045A0A">
        <w:t>setting and to deliver the regional statistics needed to design, implement, monitor and evaluate the renewed Europe 2020 strategy by setting territorially differentiated targets;</w:t>
      </w:r>
    </w:p>
    <w:p w:rsidR="00A1424D" w:rsidRPr="00045A0A" w:rsidRDefault="00A1424D" w:rsidP="00D00DE1"/>
    <w:p w:rsidR="00A1424D" w:rsidRPr="00045A0A" w:rsidRDefault="00A1424D">
      <w:pPr>
        <w:pStyle w:val="Heading1"/>
        <w:ind w:left="567" w:hanging="567"/>
      </w:pPr>
      <w:r w:rsidRPr="00045A0A">
        <w:t>highlights the need to go beyond the current system of statistics and indicators (based on the NUTS regulation) when measuring progress at local and regional level</w:t>
      </w:r>
      <w:r w:rsidR="007A3935" w:rsidRPr="00045A0A">
        <w:t>,</w:t>
      </w:r>
      <w:r w:rsidRPr="00045A0A">
        <w:t xml:space="preserve"> particularly with regard to the concept of "functional regions" and cross-border areas</w:t>
      </w:r>
      <w:r w:rsidR="007A3935" w:rsidRPr="00045A0A">
        <w:t>,</w:t>
      </w:r>
      <w:r w:rsidRPr="00045A0A">
        <w:t xml:space="preserve"> and suggests </w:t>
      </w:r>
      <w:r w:rsidR="007A3935" w:rsidRPr="00045A0A">
        <w:t>that</w:t>
      </w:r>
      <w:r w:rsidRPr="00045A0A">
        <w:t xml:space="preserve"> the European Commission further develop the concepts and indicators which go along with this;</w:t>
      </w:r>
    </w:p>
    <w:p w:rsidR="00A1424D" w:rsidRPr="00045A0A" w:rsidRDefault="00A1424D" w:rsidP="00D00DE1"/>
    <w:p w:rsidR="00655140" w:rsidRPr="00045A0A" w:rsidRDefault="00655140" w:rsidP="00D00DE1"/>
    <w:p w:rsidR="00245514" w:rsidRPr="00045A0A" w:rsidRDefault="00245514">
      <w:pPr>
        <w:pStyle w:val="Heading1"/>
        <w:ind w:left="567" w:hanging="567"/>
      </w:pPr>
      <w:r w:rsidRPr="00045A0A">
        <w:t>reiterates that urban and rural dimensions should be better highlighted across a broad range of EU policies, especially in the context of territorial cohesion, where the development of relevant economic, environmental and social indicators could enhance the quality of local and regional policies;</w:t>
      </w:r>
    </w:p>
    <w:p w:rsidR="00831B77" w:rsidRPr="00045A0A" w:rsidRDefault="00831B77" w:rsidP="00D00DE1"/>
    <w:p w:rsidR="00444A98" w:rsidRPr="00045A0A" w:rsidRDefault="00444A98" w:rsidP="00D00DE1">
      <w:pPr>
        <w:textAlignment w:val="auto"/>
      </w:pPr>
      <w:r w:rsidRPr="00045A0A">
        <w:t xml:space="preserve">Brussels, </w:t>
      </w:r>
    </w:p>
    <w:p w:rsidR="00444A98" w:rsidRPr="00045A0A" w:rsidRDefault="00444A98" w:rsidP="00D00DE1"/>
    <w:p w:rsidR="00444A98" w:rsidRPr="00045A0A" w:rsidRDefault="00444A98" w:rsidP="00D00DE1">
      <w:pPr>
        <w:numPr>
          <w:ilvl w:val="0"/>
          <w:numId w:val="13"/>
        </w:numPr>
        <w:ind w:left="567" w:hanging="567"/>
        <w:rPr>
          <w:b/>
        </w:rPr>
      </w:pPr>
      <w:r w:rsidRPr="00045A0A">
        <w:br w:type="page"/>
      </w:r>
      <w:r w:rsidRPr="00045A0A">
        <w:rPr>
          <w:b/>
        </w:rPr>
        <w:t>PROCEDURE</w:t>
      </w:r>
    </w:p>
    <w:p w:rsidR="00444A98" w:rsidRPr="00045A0A" w:rsidRDefault="00444A98" w:rsidP="00D00DE1"/>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390"/>
      </w:tblGrid>
      <w:tr w:rsidR="00FA5E7D">
        <w:tc>
          <w:tcPr>
            <w:tcW w:w="3848" w:type="dxa"/>
            <w:noWrap/>
          </w:tcPr>
          <w:p w:rsidR="00444A98" w:rsidRPr="00045A0A" w:rsidRDefault="00444A98" w:rsidP="00D00DE1">
            <w:pPr>
              <w:rPr>
                <w:b/>
              </w:rPr>
            </w:pPr>
            <w:r w:rsidRPr="00045A0A">
              <w:rPr>
                <w:b/>
              </w:rPr>
              <w:t>Title</w:t>
            </w:r>
          </w:p>
          <w:p w:rsidR="00444A98" w:rsidRPr="00045A0A" w:rsidRDefault="00444A98" w:rsidP="00D00DE1">
            <w:pPr>
              <w:rPr>
                <w:b/>
              </w:rPr>
            </w:pPr>
          </w:p>
        </w:tc>
        <w:tc>
          <w:tcPr>
            <w:tcW w:w="5390" w:type="dxa"/>
            <w:noWrap/>
          </w:tcPr>
          <w:p w:rsidR="00444A98" w:rsidRPr="00045A0A" w:rsidRDefault="002613E3" w:rsidP="00D00DE1">
            <w:pPr>
              <w:jc w:val="left"/>
            </w:pPr>
            <w:r w:rsidRPr="00045A0A">
              <w:t>Indicators for territorial development – GDP and beyond</w:t>
            </w:r>
          </w:p>
        </w:tc>
      </w:tr>
      <w:tr w:rsidR="00FA5E7D">
        <w:tc>
          <w:tcPr>
            <w:tcW w:w="3848" w:type="dxa"/>
            <w:noWrap/>
          </w:tcPr>
          <w:p w:rsidR="00444A98" w:rsidRPr="00045A0A" w:rsidRDefault="00444A98" w:rsidP="00D00DE1">
            <w:pPr>
              <w:jc w:val="left"/>
              <w:rPr>
                <w:b/>
                <w:bCs/>
              </w:rPr>
            </w:pPr>
            <w:r w:rsidRPr="00045A0A">
              <w:rPr>
                <w:b/>
              </w:rPr>
              <w:t xml:space="preserve">Reference(s) </w:t>
            </w:r>
          </w:p>
        </w:tc>
        <w:tc>
          <w:tcPr>
            <w:tcW w:w="5390" w:type="dxa"/>
            <w:noWrap/>
          </w:tcPr>
          <w:p w:rsidR="00444A98" w:rsidRPr="00045A0A" w:rsidRDefault="00A03BCC" w:rsidP="00D00DE1">
            <w:pPr>
              <w:jc w:val="left"/>
            </w:pPr>
            <w:r w:rsidRPr="00045A0A">
              <w:t>N/A</w:t>
            </w:r>
          </w:p>
        </w:tc>
      </w:tr>
      <w:tr w:rsidR="00FA5E7D">
        <w:tc>
          <w:tcPr>
            <w:tcW w:w="3848" w:type="dxa"/>
            <w:noWrap/>
          </w:tcPr>
          <w:p w:rsidR="00444A98" w:rsidRPr="00045A0A" w:rsidRDefault="00444A98" w:rsidP="00D00DE1">
            <w:pPr>
              <w:jc w:val="left"/>
              <w:rPr>
                <w:b/>
                <w:bCs/>
              </w:rPr>
            </w:pPr>
            <w:r w:rsidRPr="00045A0A">
              <w:rPr>
                <w:b/>
              </w:rPr>
              <w:t>Legal basis</w:t>
            </w:r>
          </w:p>
        </w:tc>
        <w:tc>
          <w:tcPr>
            <w:tcW w:w="5390" w:type="dxa"/>
            <w:noWrap/>
          </w:tcPr>
          <w:p w:rsidR="00444A98" w:rsidRPr="00045A0A" w:rsidRDefault="002613E3" w:rsidP="00D00DE1">
            <w:pPr>
              <w:jc w:val="left"/>
            </w:pPr>
            <w:r w:rsidRPr="00045A0A">
              <w:t>Article 307 TFEU</w:t>
            </w:r>
          </w:p>
        </w:tc>
      </w:tr>
      <w:tr w:rsidR="00FA5E7D">
        <w:tc>
          <w:tcPr>
            <w:tcW w:w="3848" w:type="dxa"/>
            <w:noWrap/>
          </w:tcPr>
          <w:p w:rsidR="00444A98" w:rsidRPr="00045A0A" w:rsidRDefault="00444A98" w:rsidP="00D00DE1">
            <w:pPr>
              <w:jc w:val="left"/>
              <w:rPr>
                <w:b/>
                <w:bCs/>
              </w:rPr>
            </w:pPr>
            <w:r w:rsidRPr="00045A0A">
              <w:rPr>
                <w:b/>
              </w:rPr>
              <w:t>Procedural basis</w:t>
            </w:r>
          </w:p>
        </w:tc>
        <w:tc>
          <w:tcPr>
            <w:tcW w:w="5390" w:type="dxa"/>
            <w:noWrap/>
          </w:tcPr>
          <w:p w:rsidR="00444A98" w:rsidRPr="00045A0A" w:rsidRDefault="00A03BCC" w:rsidP="00D00DE1">
            <w:pPr>
              <w:jc w:val="left"/>
            </w:pPr>
            <w:r w:rsidRPr="00045A0A">
              <w:t>Own-initiative opinion</w:t>
            </w:r>
          </w:p>
        </w:tc>
      </w:tr>
      <w:tr w:rsidR="00FA5E7D">
        <w:tc>
          <w:tcPr>
            <w:tcW w:w="3848" w:type="dxa"/>
          </w:tcPr>
          <w:p w:rsidR="00444A98" w:rsidRPr="00045A0A" w:rsidRDefault="00444A98" w:rsidP="00D00DE1">
            <w:pPr>
              <w:jc w:val="left"/>
              <w:rPr>
                <w:b/>
              </w:rPr>
            </w:pPr>
            <w:r w:rsidRPr="00045A0A">
              <w:rPr>
                <w:b/>
              </w:rPr>
              <w:t>Date of Council/EP referral/Date of Commission letter</w:t>
            </w:r>
          </w:p>
        </w:tc>
        <w:tc>
          <w:tcPr>
            <w:tcW w:w="5390" w:type="dxa"/>
            <w:noWrap/>
          </w:tcPr>
          <w:p w:rsidR="00444A98" w:rsidRPr="00045A0A" w:rsidRDefault="00A03BCC" w:rsidP="00D00DE1">
            <w:pPr>
              <w:jc w:val="left"/>
            </w:pPr>
            <w:r w:rsidRPr="00045A0A">
              <w:t>N/A</w:t>
            </w:r>
          </w:p>
        </w:tc>
      </w:tr>
      <w:tr w:rsidR="00FA5E7D">
        <w:tc>
          <w:tcPr>
            <w:tcW w:w="3848" w:type="dxa"/>
          </w:tcPr>
          <w:p w:rsidR="00444A98" w:rsidRPr="00045A0A" w:rsidRDefault="00444A98" w:rsidP="00D00DE1">
            <w:pPr>
              <w:jc w:val="left"/>
              <w:rPr>
                <w:b/>
              </w:rPr>
            </w:pPr>
            <w:r w:rsidRPr="00045A0A">
              <w:rPr>
                <w:b/>
              </w:rPr>
              <w:t>Date of Bureau/President's decision</w:t>
            </w:r>
          </w:p>
        </w:tc>
        <w:tc>
          <w:tcPr>
            <w:tcW w:w="5390" w:type="dxa"/>
            <w:noWrap/>
          </w:tcPr>
          <w:p w:rsidR="00444A98" w:rsidRPr="00045A0A" w:rsidRDefault="00A03BCC" w:rsidP="00D00DE1">
            <w:pPr>
              <w:jc w:val="left"/>
            </w:pPr>
            <w:r w:rsidRPr="00045A0A">
              <w:t>2 September 2015</w:t>
            </w:r>
          </w:p>
        </w:tc>
      </w:tr>
      <w:tr w:rsidR="00FA5E7D">
        <w:tc>
          <w:tcPr>
            <w:tcW w:w="3848" w:type="dxa"/>
            <w:noWrap/>
          </w:tcPr>
          <w:p w:rsidR="00444A98" w:rsidRPr="00045A0A" w:rsidRDefault="00444A98" w:rsidP="00D00DE1">
            <w:pPr>
              <w:jc w:val="left"/>
              <w:rPr>
                <w:b/>
                <w:bCs/>
              </w:rPr>
            </w:pPr>
            <w:r w:rsidRPr="00045A0A">
              <w:rPr>
                <w:b/>
              </w:rPr>
              <w:t>Commission responsible</w:t>
            </w:r>
          </w:p>
        </w:tc>
        <w:tc>
          <w:tcPr>
            <w:tcW w:w="5390" w:type="dxa"/>
            <w:noWrap/>
          </w:tcPr>
          <w:p w:rsidR="00444A98" w:rsidRPr="00045A0A" w:rsidRDefault="002613E3" w:rsidP="00D00DE1">
            <w:pPr>
              <w:jc w:val="left"/>
            </w:pPr>
            <w:r w:rsidRPr="00045A0A">
              <w:t>Commission for Territorial Cohesion Policy and EU Budget (COTER)</w:t>
            </w:r>
          </w:p>
        </w:tc>
      </w:tr>
      <w:tr w:rsidR="00FA5E7D">
        <w:tc>
          <w:tcPr>
            <w:tcW w:w="3848" w:type="dxa"/>
            <w:noWrap/>
          </w:tcPr>
          <w:p w:rsidR="00444A98" w:rsidRPr="00045A0A" w:rsidRDefault="00444A98" w:rsidP="00D00DE1">
            <w:pPr>
              <w:jc w:val="left"/>
              <w:rPr>
                <w:b/>
                <w:bCs/>
              </w:rPr>
            </w:pPr>
            <w:r w:rsidRPr="00045A0A">
              <w:rPr>
                <w:b/>
              </w:rPr>
              <w:t>Rapporteur</w:t>
            </w:r>
          </w:p>
        </w:tc>
        <w:tc>
          <w:tcPr>
            <w:tcW w:w="5390" w:type="dxa"/>
            <w:noWrap/>
          </w:tcPr>
          <w:p w:rsidR="002613E3" w:rsidRPr="00045A0A" w:rsidRDefault="002613E3" w:rsidP="00D00DE1">
            <w:pPr>
              <w:jc w:val="left"/>
            </w:pPr>
            <w:r w:rsidRPr="00045A0A">
              <w:t>Catiuscia Marini (IT/PES)</w:t>
            </w:r>
          </w:p>
          <w:p w:rsidR="00444A98" w:rsidRPr="00045A0A" w:rsidRDefault="002613E3" w:rsidP="00D00DE1">
            <w:pPr>
              <w:jc w:val="left"/>
            </w:pPr>
            <w:r w:rsidRPr="00045A0A">
              <w:t>President of the Umbria Region</w:t>
            </w:r>
          </w:p>
        </w:tc>
      </w:tr>
      <w:tr w:rsidR="00FA5E7D">
        <w:tc>
          <w:tcPr>
            <w:tcW w:w="3848" w:type="dxa"/>
            <w:noWrap/>
          </w:tcPr>
          <w:p w:rsidR="00444A98" w:rsidRPr="00045A0A" w:rsidRDefault="00444A98" w:rsidP="00D00DE1">
            <w:pPr>
              <w:jc w:val="left"/>
              <w:rPr>
                <w:b/>
                <w:bCs/>
              </w:rPr>
            </w:pPr>
            <w:r w:rsidRPr="00045A0A">
              <w:rPr>
                <w:b/>
              </w:rPr>
              <w:t>Analysis</w:t>
            </w:r>
          </w:p>
        </w:tc>
        <w:tc>
          <w:tcPr>
            <w:tcW w:w="5390" w:type="dxa"/>
            <w:noWrap/>
          </w:tcPr>
          <w:p w:rsidR="00444A98" w:rsidRPr="00045A0A" w:rsidRDefault="009A4999" w:rsidP="00D00DE1">
            <w:pPr>
              <w:jc w:val="left"/>
            </w:pPr>
            <w:r w:rsidRPr="00045A0A">
              <w:t>3 September 2015</w:t>
            </w:r>
          </w:p>
        </w:tc>
      </w:tr>
      <w:tr w:rsidR="00FA5E7D">
        <w:tc>
          <w:tcPr>
            <w:tcW w:w="3848" w:type="dxa"/>
            <w:noWrap/>
          </w:tcPr>
          <w:p w:rsidR="00444A98" w:rsidRPr="00045A0A" w:rsidRDefault="00444A98" w:rsidP="00D00DE1">
            <w:pPr>
              <w:jc w:val="left"/>
              <w:rPr>
                <w:b/>
                <w:bCs/>
              </w:rPr>
            </w:pPr>
            <w:r w:rsidRPr="00045A0A">
              <w:rPr>
                <w:b/>
              </w:rPr>
              <w:t xml:space="preserve">Discussed in commission </w:t>
            </w:r>
          </w:p>
        </w:tc>
        <w:tc>
          <w:tcPr>
            <w:tcW w:w="5390" w:type="dxa"/>
            <w:noWrap/>
          </w:tcPr>
          <w:p w:rsidR="00444A98" w:rsidRPr="00045A0A" w:rsidRDefault="009A4999" w:rsidP="00D00DE1">
            <w:pPr>
              <w:jc w:val="left"/>
            </w:pPr>
            <w:r w:rsidRPr="00045A0A">
              <w:t>2 October 2015</w:t>
            </w:r>
          </w:p>
        </w:tc>
      </w:tr>
      <w:tr w:rsidR="00FA5E7D">
        <w:tc>
          <w:tcPr>
            <w:tcW w:w="3848" w:type="dxa"/>
            <w:noWrap/>
          </w:tcPr>
          <w:p w:rsidR="00444A98" w:rsidRPr="00045A0A" w:rsidRDefault="00444A98" w:rsidP="00D00DE1">
            <w:pPr>
              <w:jc w:val="left"/>
              <w:rPr>
                <w:b/>
                <w:bCs/>
              </w:rPr>
            </w:pPr>
            <w:r w:rsidRPr="00045A0A">
              <w:rPr>
                <w:b/>
              </w:rPr>
              <w:t xml:space="preserve">Date adopted by commission </w:t>
            </w:r>
          </w:p>
        </w:tc>
        <w:tc>
          <w:tcPr>
            <w:tcW w:w="5390" w:type="dxa"/>
            <w:noWrap/>
          </w:tcPr>
          <w:p w:rsidR="00444A98" w:rsidRPr="00045A0A" w:rsidRDefault="00724821" w:rsidP="00D00DE1">
            <w:pPr>
              <w:jc w:val="left"/>
            </w:pPr>
            <w:r w:rsidRPr="00045A0A">
              <w:t>s</w:t>
            </w:r>
            <w:r w:rsidR="009A4999" w:rsidRPr="00045A0A">
              <w:t>cheduled for 11 December 2015</w:t>
            </w:r>
          </w:p>
        </w:tc>
      </w:tr>
      <w:tr w:rsidR="00FA5E7D">
        <w:tc>
          <w:tcPr>
            <w:tcW w:w="3848" w:type="dxa"/>
            <w:noWrap/>
          </w:tcPr>
          <w:p w:rsidR="00444A98" w:rsidRPr="00045A0A" w:rsidRDefault="00444A98" w:rsidP="00D00DE1">
            <w:pPr>
              <w:jc w:val="left"/>
              <w:rPr>
                <w:b/>
              </w:rPr>
            </w:pPr>
            <w:r w:rsidRPr="00045A0A">
              <w:rPr>
                <w:b/>
              </w:rPr>
              <w:t>Result of the vote in commission</w:t>
            </w:r>
          </w:p>
          <w:p w:rsidR="00444A98" w:rsidRPr="00045A0A" w:rsidRDefault="00444A98" w:rsidP="00D00DE1">
            <w:pPr>
              <w:jc w:val="left"/>
              <w:rPr>
                <w:b/>
                <w:bCs/>
              </w:rPr>
            </w:pPr>
            <w:r w:rsidRPr="00045A0A">
              <w:rPr>
                <w:b/>
              </w:rPr>
              <w:t>(majority, unanimity)</w:t>
            </w:r>
          </w:p>
        </w:tc>
        <w:tc>
          <w:tcPr>
            <w:tcW w:w="5390" w:type="dxa"/>
            <w:noWrap/>
          </w:tcPr>
          <w:p w:rsidR="00444A98" w:rsidRPr="00045A0A" w:rsidRDefault="00444A98" w:rsidP="00D00DE1">
            <w:pPr>
              <w:jc w:val="left"/>
            </w:pPr>
          </w:p>
        </w:tc>
      </w:tr>
      <w:tr w:rsidR="00FA5E7D">
        <w:tc>
          <w:tcPr>
            <w:tcW w:w="3848" w:type="dxa"/>
            <w:noWrap/>
          </w:tcPr>
          <w:p w:rsidR="00444A98" w:rsidRPr="00045A0A" w:rsidRDefault="00444A98" w:rsidP="00D00DE1">
            <w:pPr>
              <w:jc w:val="left"/>
              <w:rPr>
                <w:b/>
                <w:bCs/>
              </w:rPr>
            </w:pPr>
            <w:r w:rsidRPr="00045A0A">
              <w:rPr>
                <w:b/>
              </w:rPr>
              <w:t xml:space="preserve">Date adopted in plenary </w:t>
            </w:r>
          </w:p>
        </w:tc>
        <w:tc>
          <w:tcPr>
            <w:tcW w:w="5390" w:type="dxa"/>
            <w:noWrap/>
          </w:tcPr>
          <w:p w:rsidR="00444A98" w:rsidRPr="00045A0A" w:rsidRDefault="00724821" w:rsidP="00D00DE1">
            <w:pPr>
              <w:jc w:val="left"/>
            </w:pPr>
            <w:r w:rsidRPr="00045A0A">
              <w:t xml:space="preserve">scheduled for </w:t>
            </w:r>
            <w:r w:rsidR="00F87745" w:rsidRPr="00045A0A">
              <w:t>10-11 February 2016</w:t>
            </w:r>
          </w:p>
        </w:tc>
      </w:tr>
      <w:tr w:rsidR="00FA5E7D">
        <w:tc>
          <w:tcPr>
            <w:tcW w:w="3848" w:type="dxa"/>
            <w:noWrap/>
          </w:tcPr>
          <w:p w:rsidR="00444A98" w:rsidRPr="00045A0A" w:rsidRDefault="00444A98" w:rsidP="00D00DE1">
            <w:pPr>
              <w:jc w:val="left"/>
              <w:rPr>
                <w:b/>
                <w:bCs/>
              </w:rPr>
            </w:pPr>
            <w:r w:rsidRPr="00045A0A">
              <w:rPr>
                <w:b/>
              </w:rPr>
              <w:t xml:space="preserve">Previous Committee opinions </w:t>
            </w:r>
          </w:p>
        </w:tc>
        <w:tc>
          <w:tcPr>
            <w:tcW w:w="5390" w:type="dxa"/>
            <w:noWrap/>
          </w:tcPr>
          <w:p w:rsidR="00444A98" w:rsidRPr="00045A0A" w:rsidRDefault="00DD4E77" w:rsidP="00D00DE1">
            <w:pPr>
              <w:numPr>
                <w:ilvl w:val="0"/>
                <w:numId w:val="14"/>
              </w:numPr>
              <w:ind w:left="263" w:hanging="263"/>
              <w:jc w:val="left"/>
            </w:pPr>
            <w:r w:rsidRPr="00045A0A">
              <w:t xml:space="preserve">Opinion on "Measuring </w:t>
            </w:r>
            <w:r w:rsidR="001723BA" w:rsidRPr="00045A0A">
              <w:t xml:space="preserve">progress – GDP and beyond" </w:t>
            </w:r>
            <w:r w:rsidRPr="00045A0A">
              <w:t>(</w:t>
            </w:r>
            <w:r w:rsidR="00133238" w:rsidRPr="00045A0A">
              <w:t>CdR 163/2010</w:t>
            </w:r>
            <w:r w:rsidR="001723BA" w:rsidRPr="00045A0A">
              <w:t>)</w:t>
            </w:r>
            <w:r w:rsidR="00133238" w:rsidRPr="00045A0A">
              <w:rPr>
                <w:rStyle w:val="FootnoteReference"/>
              </w:rPr>
              <w:footnoteReference w:id="1"/>
            </w:r>
          </w:p>
        </w:tc>
      </w:tr>
      <w:tr w:rsidR="00FA5E7D">
        <w:tc>
          <w:tcPr>
            <w:tcW w:w="3848" w:type="dxa"/>
            <w:noWrap/>
          </w:tcPr>
          <w:p w:rsidR="00444A98" w:rsidRPr="00045A0A" w:rsidRDefault="00444A98" w:rsidP="00D00DE1">
            <w:pPr>
              <w:jc w:val="left"/>
              <w:rPr>
                <w:b/>
                <w:bCs/>
              </w:rPr>
            </w:pPr>
            <w:r w:rsidRPr="00045A0A">
              <w:rPr>
                <w:b/>
              </w:rPr>
              <w:t>Date of subsidiarity monitoring consultation</w:t>
            </w:r>
          </w:p>
        </w:tc>
        <w:tc>
          <w:tcPr>
            <w:tcW w:w="5390" w:type="dxa"/>
            <w:noWrap/>
          </w:tcPr>
          <w:p w:rsidR="00444A98" w:rsidRPr="00045A0A" w:rsidRDefault="00521E30" w:rsidP="00D00DE1">
            <w:pPr>
              <w:jc w:val="left"/>
            </w:pPr>
            <w:r w:rsidRPr="00045A0A">
              <w:t>N.A.</w:t>
            </w:r>
          </w:p>
        </w:tc>
      </w:tr>
    </w:tbl>
    <w:p w:rsidR="00444A98" w:rsidRPr="00045A0A" w:rsidRDefault="00444A98" w:rsidP="00D00DE1"/>
    <w:p w:rsidR="00444A98" w:rsidRPr="00045A0A" w:rsidRDefault="00444A98" w:rsidP="00D00DE1">
      <w:pPr>
        <w:jc w:val="center"/>
      </w:pPr>
      <w:r w:rsidRPr="00045A0A">
        <w:t>_____________</w:t>
      </w:r>
    </w:p>
    <w:p w:rsidR="00444A98" w:rsidRPr="00045A0A" w:rsidRDefault="00444A98" w:rsidP="00D00DE1"/>
    <w:sectPr w:rsidR="00444A98" w:rsidRPr="00045A0A" w:rsidSect="00045A0A">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7A" w:rsidRDefault="00EE2E7A">
      <w:r>
        <w:separator/>
      </w:r>
    </w:p>
  </w:endnote>
  <w:endnote w:type="continuationSeparator" w:id="0">
    <w:p w:rsidR="00EE2E7A" w:rsidRDefault="00E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0A" w:rsidRPr="00045A0A" w:rsidRDefault="00045A0A" w:rsidP="00045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045A0A" w:rsidP="00045A0A">
    <w:pPr>
      <w:pStyle w:val="Footer"/>
    </w:pPr>
    <w:r>
      <w:t xml:space="preserve">COR-2015-04287-00-00-PA-TRA (EN) </w:t>
    </w:r>
    <w:r>
      <w:fldChar w:fldCharType="begin"/>
    </w:r>
    <w:r>
      <w:instrText xml:space="preserve"> PAGE  \* Arabic  \* MERGEFORMAT </w:instrText>
    </w:r>
    <w:r>
      <w:fldChar w:fldCharType="separate"/>
    </w:r>
    <w:r w:rsidR="00F55017">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F55017">
      <w:rPr>
        <w:noProof/>
      </w:rPr>
      <w:instrText>9</w:instrText>
    </w:r>
    <w:r>
      <w:fldChar w:fldCharType="end"/>
    </w:r>
    <w:r>
      <w:instrText xml:space="preserve"> </w:instrText>
    </w:r>
    <w:r>
      <w:fldChar w:fldCharType="separate"/>
    </w:r>
    <w:r w:rsidR="00F55017">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0A" w:rsidRPr="00045A0A" w:rsidRDefault="00045A0A" w:rsidP="00045A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045A0A" w:rsidP="00045A0A">
    <w:pPr>
      <w:pStyle w:val="Footer"/>
    </w:pPr>
    <w:r>
      <w:t xml:space="preserve">COR-2015-04287-00-00-PA-TRA (EN) </w:t>
    </w:r>
    <w:r>
      <w:fldChar w:fldCharType="begin"/>
    </w:r>
    <w:r>
      <w:instrText xml:space="preserve"> PAGE  \* Arabic  \* MERGEFORMAT </w:instrText>
    </w:r>
    <w:r>
      <w:fldChar w:fldCharType="separate"/>
    </w:r>
    <w:r w:rsidR="00FF7124">
      <w:rPr>
        <w:noProof/>
      </w:rPr>
      <w:t>9</w:t>
    </w:r>
    <w:r>
      <w:fldChar w:fldCharType="end"/>
    </w:r>
    <w:r>
      <w:t>/</w:t>
    </w:r>
    <w:r>
      <w:fldChar w:fldCharType="begin"/>
    </w:r>
    <w:r>
      <w:instrText xml:space="preserve"> = </w:instrText>
    </w:r>
    <w:r>
      <w:fldChar w:fldCharType="begin"/>
    </w:r>
    <w:r>
      <w:instrText xml:space="preserve"> NUMPAGES </w:instrText>
    </w:r>
    <w:r>
      <w:fldChar w:fldCharType="separate"/>
    </w:r>
    <w:r w:rsidR="00FF7124">
      <w:rPr>
        <w:noProof/>
      </w:rPr>
      <w:instrText>9</w:instrText>
    </w:r>
    <w:r>
      <w:fldChar w:fldCharType="end"/>
    </w:r>
    <w:r>
      <w:instrText xml:space="preserve"> </w:instrText>
    </w:r>
    <w:r>
      <w:fldChar w:fldCharType="separate"/>
    </w:r>
    <w:r w:rsidR="00FF7124">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7A" w:rsidRDefault="00EE2E7A">
      <w:r>
        <w:separator/>
      </w:r>
    </w:p>
  </w:footnote>
  <w:footnote w:type="continuationSeparator" w:id="0">
    <w:p w:rsidR="00EE2E7A" w:rsidRDefault="00EE2E7A">
      <w:r>
        <w:continuationSeparator/>
      </w:r>
    </w:p>
  </w:footnote>
  <w:footnote w:id="1">
    <w:p w:rsidR="00EE2E7A" w:rsidRPr="00045A0A" w:rsidRDefault="00EE2E7A" w:rsidP="00D00DE1">
      <w:pPr>
        <w:pStyle w:val="FootnoteText"/>
      </w:pPr>
      <w:r w:rsidRPr="00045A0A">
        <w:rPr>
          <w:rStyle w:val="FootnoteReference"/>
        </w:rPr>
        <w:footnoteRef/>
      </w:r>
      <w:r w:rsidRPr="00045A0A">
        <w:rPr>
          <w:rStyle w:val="FootnoteReference"/>
        </w:rPr>
        <w:t xml:space="preserve"> </w:t>
      </w:r>
      <w:r w:rsidR="00D00DE1" w:rsidRPr="00045A0A">
        <w:tab/>
      </w:r>
      <w:hyperlink r:id="rId1" w:history="1">
        <w:r w:rsidRPr="00045A0A">
          <w:rPr>
            <w:rStyle w:val="Hyperlink"/>
          </w:rPr>
          <w:t>OJ C 15, 18.1.2011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0A" w:rsidRPr="00045A0A" w:rsidRDefault="00045A0A" w:rsidP="00045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0A" w:rsidRPr="00045A0A" w:rsidRDefault="00045A0A" w:rsidP="00045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0A" w:rsidRPr="00045A0A" w:rsidRDefault="00045A0A" w:rsidP="00045A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B7DB7"/>
    <w:multiLevelType w:val="hybridMultilevel"/>
    <w:tmpl w:val="56707DE2"/>
    <w:lvl w:ilvl="0" w:tplc="02F84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2"/>
  </w:num>
  <w:num w:numId="4">
    <w:abstractNumId w:val="5"/>
  </w:num>
  <w:num w:numId="5">
    <w:abstractNumId w:val="7"/>
  </w:num>
  <w:num w:numId="6">
    <w:abstractNumId w:val="3"/>
  </w:num>
  <w:num w:numId="7">
    <w:abstractNumId w:val="1"/>
  </w:num>
  <w:num w:numId="8">
    <w:abstractNumId w:val="11"/>
  </w:num>
  <w:num w:numId="9">
    <w:abstractNumId w:val="9"/>
  </w:num>
  <w:num w:numId="10">
    <w:abstractNumId w:val="10"/>
  </w:num>
  <w:num w:numId="11">
    <w:abstractNumId w:val="2"/>
  </w:num>
  <w:num w:numId="12">
    <w:abstractNumId w:val="6"/>
  </w:num>
  <w:num w:numId="13">
    <w:abstractNumId w:val="13"/>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029A5"/>
    <w:rsid w:val="0001128B"/>
    <w:rsid w:val="00020D7F"/>
    <w:rsid w:val="000218A2"/>
    <w:rsid w:val="00030812"/>
    <w:rsid w:val="00030F02"/>
    <w:rsid w:val="00037CFE"/>
    <w:rsid w:val="00045A0A"/>
    <w:rsid w:val="000473F8"/>
    <w:rsid w:val="00047EAB"/>
    <w:rsid w:val="00053CB2"/>
    <w:rsid w:val="000615B3"/>
    <w:rsid w:val="00067841"/>
    <w:rsid w:val="00067BA8"/>
    <w:rsid w:val="00080FC7"/>
    <w:rsid w:val="000821B1"/>
    <w:rsid w:val="00083AE8"/>
    <w:rsid w:val="000870B3"/>
    <w:rsid w:val="000A23CA"/>
    <w:rsid w:val="000A6C5F"/>
    <w:rsid w:val="000B2D93"/>
    <w:rsid w:val="000B74D3"/>
    <w:rsid w:val="000C3BC1"/>
    <w:rsid w:val="000C455D"/>
    <w:rsid w:val="000C51C9"/>
    <w:rsid w:val="000D18AB"/>
    <w:rsid w:val="000F02BC"/>
    <w:rsid w:val="000F694B"/>
    <w:rsid w:val="00101FBB"/>
    <w:rsid w:val="001076E4"/>
    <w:rsid w:val="00112E32"/>
    <w:rsid w:val="00115612"/>
    <w:rsid w:val="0012190B"/>
    <w:rsid w:val="00122867"/>
    <w:rsid w:val="00125CC9"/>
    <w:rsid w:val="00133238"/>
    <w:rsid w:val="0013764C"/>
    <w:rsid w:val="00140186"/>
    <w:rsid w:val="00147488"/>
    <w:rsid w:val="001539C0"/>
    <w:rsid w:val="0015645B"/>
    <w:rsid w:val="00156ED4"/>
    <w:rsid w:val="001723BA"/>
    <w:rsid w:val="0017659B"/>
    <w:rsid w:val="00184A0A"/>
    <w:rsid w:val="00192A50"/>
    <w:rsid w:val="001A2AC6"/>
    <w:rsid w:val="001A7258"/>
    <w:rsid w:val="001B1E0C"/>
    <w:rsid w:val="001B3194"/>
    <w:rsid w:val="001B6272"/>
    <w:rsid w:val="001C42B3"/>
    <w:rsid w:val="001C66A9"/>
    <w:rsid w:val="001D5CC3"/>
    <w:rsid w:val="001E03C0"/>
    <w:rsid w:val="001E2657"/>
    <w:rsid w:val="001E5620"/>
    <w:rsid w:val="001F41F2"/>
    <w:rsid w:val="001F7815"/>
    <w:rsid w:val="002033F5"/>
    <w:rsid w:val="00205002"/>
    <w:rsid w:val="002054D0"/>
    <w:rsid w:val="00207E5D"/>
    <w:rsid w:val="002162D3"/>
    <w:rsid w:val="00217AE1"/>
    <w:rsid w:val="002229BF"/>
    <w:rsid w:val="00222F85"/>
    <w:rsid w:val="002270F2"/>
    <w:rsid w:val="002302F1"/>
    <w:rsid w:val="00233D5E"/>
    <w:rsid w:val="00245514"/>
    <w:rsid w:val="00254B94"/>
    <w:rsid w:val="00255CA5"/>
    <w:rsid w:val="002613E3"/>
    <w:rsid w:val="00262EC5"/>
    <w:rsid w:val="00263839"/>
    <w:rsid w:val="00263E39"/>
    <w:rsid w:val="0026767E"/>
    <w:rsid w:val="0027013D"/>
    <w:rsid w:val="00287002"/>
    <w:rsid w:val="00292D24"/>
    <w:rsid w:val="00293319"/>
    <w:rsid w:val="002A67BF"/>
    <w:rsid w:val="002A73DA"/>
    <w:rsid w:val="002B1E5E"/>
    <w:rsid w:val="002B34FE"/>
    <w:rsid w:val="002D618D"/>
    <w:rsid w:val="002E5EA0"/>
    <w:rsid w:val="002E7C9D"/>
    <w:rsid w:val="002F03D6"/>
    <w:rsid w:val="00313B58"/>
    <w:rsid w:val="00322488"/>
    <w:rsid w:val="00323D67"/>
    <w:rsid w:val="00334D96"/>
    <w:rsid w:val="00343614"/>
    <w:rsid w:val="00355493"/>
    <w:rsid w:val="003563A4"/>
    <w:rsid w:val="00367564"/>
    <w:rsid w:val="0037273D"/>
    <w:rsid w:val="0037371C"/>
    <w:rsid w:val="00373B65"/>
    <w:rsid w:val="00373ED4"/>
    <w:rsid w:val="00375FDC"/>
    <w:rsid w:val="0038098F"/>
    <w:rsid w:val="00380D6D"/>
    <w:rsid w:val="00383975"/>
    <w:rsid w:val="003A043C"/>
    <w:rsid w:val="003B0723"/>
    <w:rsid w:val="003B0742"/>
    <w:rsid w:val="003B1325"/>
    <w:rsid w:val="003B1C77"/>
    <w:rsid w:val="003B3020"/>
    <w:rsid w:val="003B7598"/>
    <w:rsid w:val="003C0AC2"/>
    <w:rsid w:val="003C0F98"/>
    <w:rsid w:val="003D58A3"/>
    <w:rsid w:val="003E420C"/>
    <w:rsid w:val="00406724"/>
    <w:rsid w:val="004068AF"/>
    <w:rsid w:val="00413313"/>
    <w:rsid w:val="00413D19"/>
    <w:rsid w:val="00416341"/>
    <w:rsid w:val="00416F16"/>
    <w:rsid w:val="00426987"/>
    <w:rsid w:val="00431A59"/>
    <w:rsid w:val="004336B4"/>
    <w:rsid w:val="00437263"/>
    <w:rsid w:val="00444A98"/>
    <w:rsid w:val="00454AD9"/>
    <w:rsid w:val="00456A66"/>
    <w:rsid w:val="00465E71"/>
    <w:rsid w:val="00475484"/>
    <w:rsid w:val="00495F86"/>
    <w:rsid w:val="004A0C7C"/>
    <w:rsid w:val="004A1CBF"/>
    <w:rsid w:val="004A39F6"/>
    <w:rsid w:val="004A41CF"/>
    <w:rsid w:val="004A4D6F"/>
    <w:rsid w:val="004B0617"/>
    <w:rsid w:val="004B47FD"/>
    <w:rsid w:val="004B706E"/>
    <w:rsid w:val="004B79EF"/>
    <w:rsid w:val="004C2787"/>
    <w:rsid w:val="004C6193"/>
    <w:rsid w:val="004C6A4D"/>
    <w:rsid w:val="004D0F16"/>
    <w:rsid w:val="004D20A5"/>
    <w:rsid w:val="004D6DA9"/>
    <w:rsid w:val="004E2746"/>
    <w:rsid w:val="004E605D"/>
    <w:rsid w:val="004F0374"/>
    <w:rsid w:val="0051683C"/>
    <w:rsid w:val="005209DF"/>
    <w:rsid w:val="00521E30"/>
    <w:rsid w:val="005243E7"/>
    <w:rsid w:val="005375A6"/>
    <w:rsid w:val="00540AD7"/>
    <w:rsid w:val="005452AA"/>
    <w:rsid w:val="00575FC1"/>
    <w:rsid w:val="00576A61"/>
    <w:rsid w:val="005775BA"/>
    <w:rsid w:val="0058304A"/>
    <w:rsid w:val="005954D7"/>
    <w:rsid w:val="005A542B"/>
    <w:rsid w:val="005A60F5"/>
    <w:rsid w:val="005A7F8D"/>
    <w:rsid w:val="005B2905"/>
    <w:rsid w:val="005B4363"/>
    <w:rsid w:val="005C36CD"/>
    <w:rsid w:val="005C4B78"/>
    <w:rsid w:val="005C4F1C"/>
    <w:rsid w:val="005C6B6A"/>
    <w:rsid w:val="005D11BE"/>
    <w:rsid w:val="005D31A6"/>
    <w:rsid w:val="005D5C51"/>
    <w:rsid w:val="005E18C5"/>
    <w:rsid w:val="005E2756"/>
    <w:rsid w:val="005E30A5"/>
    <w:rsid w:val="005E58C7"/>
    <w:rsid w:val="005F13F7"/>
    <w:rsid w:val="005F2F27"/>
    <w:rsid w:val="005F3DF3"/>
    <w:rsid w:val="006178E4"/>
    <w:rsid w:val="006311E4"/>
    <w:rsid w:val="006318E7"/>
    <w:rsid w:val="00633E89"/>
    <w:rsid w:val="0064363C"/>
    <w:rsid w:val="00655140"/>
    <w:rsid w:val="00671E04"/>
    <w:rsid w:val="00685564"/>
    <w:rsid w:val="00685C53"/>
    <w:rsid w:val="00690112"/>
    <w:rsid w:val="0069650E"/>
    <w:rsid w:val="006A4A0A"/>
    <w:rsid w:val="006B0E8C"/>
    <w:rsid w:val="006B54D2"/>
    <w:rsid w:val="006C33CB"/>
    <w:rsid w:val="006D0087"/>
    <w:rsid w:val="006E5613"/>
    <w:rsid w:val="006F49BF"/>
    <w:rsid w:val="006F6A08"/>
    <w:rsid w:val="006F6FAD"/>
    <w:rsid w:val="006F77D2"/>
    <w:rsid w:val="00713EBB"/>
    <w:rsid w:val="00715E77"/>
    <w:rsid w:val="00720994"/>
    <w:rsid w:val="00724821"/>
    <w:rsid w:val="007279F5"/>
    <w:rsid w:val="0074236A"/>
    <w:rsid w:val="00742DB4"/>
    <w:rsid w:val="00742F35"/>
    <w:rsid w:val="00745F2D"/>
    <w:rsid w:val="0075508D"/>
    <w:rsid w:val="007637AF"/>
    <w:rsid w:val="0076496E"/>
    <w:rsid w:val="00770E6E"/>
    <w:rsid w:val="007711BA"/>
    <w:rsid w:val="00785967"/>
    <w:rsid w:val="007A3935"/>
    <w:rsid w:val="007A6D76"/>
    <w:rsid w:val="007B10B2"/>
    <w:rsid w:val="007B2E4D"/>
    <w:rsid w:val="007C05C6"/>
    <w:rsid w:val="007C33B6"/>
    <w:rsid w:val="007C4D5D"/>
    <w:rsid w:val="007C7036"/>
    <w:rsid w:val="007C740B"/>
    <w:rsid w:val="007D0A42"/>
    <w:rsid w:val="007D0EBC"/>
    <w:rsid w:val="007E0747"/>
    <w:rsid w:val="007E4FDF"/>
    <w:rsid w:val="007F0079"/>
    <w:rsid w:val="007F68C4"/>
    <w:rsid w:val="008017FC"/>
    <w:rsid w:val="008065DC"/>
    <w:rsid w:val="00807D71"/>
    <w:rsid w:val="00810512"/>
    <w:rsid w:val="00814EF3"/>
    <w:rsid w:val="008224B6"/>
    <w:rsid w:val="00831B77"/>
    <w:rsid w:val="00834F72"/>
    <w:rsid w:val="00837FA5"/>
    <w:rsid w:val="00841EA0"/>
    <w:rsid w:val="00847E17"/>
    <w:rsid w:val="00855A59"/>
    <w:rsid w:val="0085738B"/>
    <w:rsid w:val="00866F5C"/>
    <w:rsid w:val="00872C3D"/>
    <w:rsid w:val="00877FB7"/>
    <w:rsid w:val="008B4F2A"/>
    <w:rsid w:val="008C70CD"/>
    <w:rsid w:val="008D3638"/>
    <w:rsid w:val="008D5CBC"/>
    <w:rsid w:val="008D6957"/>
    <w:rsid w:val="008E3914"/>
    <w:rsid w:val="008E4D06"/>
    <w:rsid w:val="008F027D"/>
    <w:rsid w:val="008F09CF"/>
    <w:rsid w:val="00913B7D"/>
    <w:rsid w:val="00922340"/>
    <w:rsid w:val="009352AE"/>
    <w:rsid w:val="009461B5"/>
    <w:rsid w:val="00952A4F"/>
    <w:rsid w:val="009556DD"/>
    <w:rsid w:val="00960025"/>
    <w:rsid w:val="00960379"/>
    <w:rsid w:val="00960E4E"/>
    <w:rsid w:val="00965EF0"/>
    <w:rsid w:val="00975117"/>
    <w:rsid w:val="0097655D"/>
    <w:rsid w:val="00980D22"/>
    <w:rsid w:val="009847EE"/>
    <w:rsid w:val="00991813"/>
    <w:rsid w:val="00993C49"/>
    <w:rsid w:val="009976EC"/>
    <w:rsid w:val="009A4999"/>
    <w:rsid w:val="009B13E2"/>
    <w:rsid w:val="009C3804"/>
    <w:rsid w:val="009C7A94"/>
    <w:rsid w:val="009F0B69"/>
    <w:rsid w:val="009F1639"/>
    <w:rsid w:val="009F7D37"/>
    <w:rsid w:val="00A012E5"/>
    <w:rsid w:val="00A03BCC"/>
    <w:rsid w:val="00A12773"/>
    <w:rsid w:val="00A1424D"/>
    <w:rsid w:val="00A21DE6"/>
    <w:rsid w:val="00A402C8"/>
    <w:rsid w:val="00A4074F"/>
    <w:rsid w:val="00A70DB2"/>
    <w:rsid w:val="00A716DA"/>
    <w:rsid w:val="00A854A6"/>
    <w:rsid w:val="00A90E7F"/>
    <w:rsid w:val="00A911A9"/>
    <w:rsid w:val="00A91F95"/>
    <w:rsid w:val="00A97A18"/>
    <w:rsid w:val="00AA1666"/>
    <w:rsid w:val="00AA77B1"/>
    <w:rsid w:val="00AB0937"/>
    <w:rsid w:val="00AC5433"/>
    <w:rsid w:val="00AD56C2"/>
    <w:rsid w:val="00AE30D5"/>
    <w:rsid w:val="00AE430C"/>
    <w:rsid w:val="00AE4401"/>
    <w:rsid w:val="00AF2191"/>
    <w:rsid w:val="00AF31F9"/>
    <w:rsid w:val="00B102CB"/>
    <w:rsid w:val="00B15091"/>
    <w:rsid w:val="00B228ED"/>
    <w:rsid w:val="00B32075"/>
    <w:rsid w:val="00B33430"/>
    <w:rsid w:val="00B3514C"/>
    <w:rsid w:val="00B35DCC"/>
    <w:rsid w:val="00B6056E"/>
    <w:rsid w:val="00B65DB1"/>
    <w:rsid w:val="00B70CD3"/>
    <w:rsid w:val="00B80784"/>
    <w:rsid w:val="00B81451"/>
    <w:rsid w:val="00B916CC"/>
    <w:rsid w:val="00B94C73"/>
    <w:rsid w:val="00BA77E2"/>
    <w:rsid w:val="00BB4F2B"/>
    <w:rsid w:val="00BC5B71"/>
    <w:rsid w:val="00BC6ED6"/>
    <w:rsid w:val="00BD1BC1"/>
    <w:rsid w:val="00BE061F"/>
    <w:rsid w:val="00BE2C93"/>
    <w:rsid w:val="00BE3E20"/>
    <w:rsid w:val="00BE616F"/>
    <w:rsid w:val="00BF384A"/>
    <w:rsid w:val="00BF59D2"/>
    <w:rsid w:val="00BF7AE7"/>
    <w:rsid w:val="00C03169"/>
    <w:rsid w:val="00C15483"/>
    <w:rsid w:val="00C21019"/>
    <w:rsid w:val="00C32D17"/>
    <w:rsid w:val="00C3552F"/>
    <w:rsid w:val="00C639CA"/>
    <w:rsid w:val="00C70956"/>
    <w:rsid w:val="00C72FB9"/>
    <w:rsid w:val="00C748CB"/>
    <w:rsid w:val="00C76F5D"/>
    <w:rsid w:val="00C82247"/>
    <w:rsid w:val="00C82639"/>
    <w:rsid w:val="00C9779E"/>
    <w:rsid w:val="00CA0DEB"/>
    <w:rsid w:val="00CA6B49"/>
    <w:rsid w:val="00CA77EF"/>
    <w:rsid w:val="00CA7D94"/>
    <w:rsid w:val="00CB7BAE"/>
    <w:rsid w:val="00CC10B3"/>
    <w:rsid w:val="00CD1F6C"/>
    <w:rsid w:val="00CD6299"/>
    <w:rsid w:val="00CE5929"/>
    <w:rsid w:val="00CE67ED"/>
    <w:rsid w:val="00CE6DFC"/>
    <w:rsid w:val="00CF0F02"/>
    <w:rsid w:val="00D00DE1"/>
    <w:rsid w:val="00D04279"/>
    <w:rsid w:val="00D177C6"/>
    <w:rsid w:val="00D543BE"/>
    <w:rsid w:val="00D55F66"/>
    <w:rsid w:val="00D6447B"/>
    <w:rsid w:val="00D8374B"/>
    <w:rsid w:val="00D84F87"/>
    <w:rsid w:val="00D85ED8"/>
    <w:rsid w:val="00DA0453"/>
    <w:rsid w:val="00DA085F"/>
    <w:rsid w:val="00DA3DEA"/>
    <w:rsid w:val="00DA5A82"/>
    <w:rsid w:val="00DC4FFD"/>
    <w:rsid w:val="00DC54CC"/>
    <w:rsid w:val="00DC55CB"/>
    <w:rsid w:val="00DD4E77"/>
    <w:rsid w:val="00DD66B3"/>
    <w:rsid w:val="00DE2AA2"/>
    <w:rsid w:val="00DE31BF"/>
    <w:rsid w:val="00DE5160"/>
    <w:rsid w:val="00DE6C67"/>
    <w:rsid w:val="00DF5986"/>
    <w:rsid w:val="00DF5BA4"/>
    <w:rsid w:val="00DF7D46"/>
    <w:rsid w:val="00E276EE"/>
    <w:rsid w:val="00E30BD3"/>
    <w:rsid w:val="00E30D3A"/>
    <w:rsid w:val="00E44D90"/>
    <w:rsid w:val="00E52232"/>
    <w:rsid w:val="00E53206"/>
    <w:rsid w:val="00E65935"/>
    <w:rsid w:val="00E67837"/>
    <w:rsid w:val="00E704D7"/>
    <w:rsid w:val="00E70DBF"/>
    <w:rsid w:val="00E70FE6"/>
    <w:rsid w:val="00E83AE3"/>
    <w:rsid w:val="00E83E7B"/>
    <w:rsid w:val="00E84541"/>
    <w:rsid w:val="00E90829"/>
    <w:rsid w:val="00E91AAE"/>
    <w:rsid w:val="00E97649"/>
    <w:rsid w:val="00EA54B1"/>
    <w:rsid w:val="00EA6698"/>
    <w:rsid w:val="00EB3B52"/>
    <w:rsid w:val="00ED3BAF"/>
    <w:rsid w:val="00ED791C"/>
    <w:rsid w:val="00EE2E7A"/>
    <w:rsid w:val="00EE766C"/>
    <w:rsid w:val="00EF1D1B"/>
    <w:rsid w:val="00F01497"/>
    <w:rsid w:val="00F03EAF"/>
    <w:rsid w:val="00F15EE0"/>
    <w:rsid w:val="00F36883"/>
    <w:rsid w:val="00F40F26"/>
    <w:rsid w:val="00F42EDA"/>
    <w:rsid w:val="00F4435F"/>
    <w:rsid w:val="00F44973"/>
    <w:rsid w:val="00F45402"/>
    <w:rsid w:val="00F46E83"/>
    <w:rsid w:val="00F518C5"/>
    <w:rsid w:val="00F532A1"/>
    <w:rsid w:val="00F546A3"/>
    <w:rsid w:val="00F55017"/>
    <w:rsid w:val="00F55286"/>
    <w:rsid w:val="00F562DF"/>
    <w:rsid w:val="00F6446E"/>
    <w:rsid w:val="00F70504"/>
    <w:rsid w:val="00F768CE"/>
    <w:rsid w:val="00F84BCE"/>
    <w:rsid w:val="00F85741"/>
    <w:rsid w:val="00F87745"/>
    <w:rsid w:val="00F90F5A"/>
    <w:rsid w:val="00F93D0F"/>
    <w:rsid w:val="00F97695"/>
    <w:rsid w:val="00FA1EEE"/>
    <w:rsid w:val="00FA5E7D"/>
    <w:rsid w:val="00FB1986"/>
    <w:rsid w:val="00FB42B9"/>
    <w:rsid w:val="00FC09E5"/>
    <w:rsid w:val="00FC54D0"/>
    <w:rsid w:val="00FC5FC2"/>
    <w:rsid w:val="00FD07DA"/>
    <w:rsid w:val="00FD55C5"/>
    <w:rsid w:val="00FE4F87"/>
    <w:rsid w:val="00FE7B56"/>
    <w:rsid w:val="00FF2D33"/>
    <w:rsid w:val="00FF53DC"/>
    <w:rsid w:val="00FF60A6"/>
    <w:rsid w:val="00FF695E"/>
    <w:rsid w:val="00FF71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C07C0D0-5D57-4250-AA30-ACB2E025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E4"/>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1076E4"/>
    <w:pPr>
      <w:numPr>
        <w:numId w:val="1"/>
      </w:numPr>
      <w:outlineLvl w:val="0"/>
    </w:pPr>
    <w:rPr>
      <w:kern w:val="28"/>
    </w:rPr>
  </w:style>
  <w:style w:type="paragraph" w:styleId="Heading2">
    <w:name w:val="heading 2"/>
    <w:basedOn w:val="Normal"/>
    <w:next w:val="Normal"/>
    <w:link w:val="Heading2Char"/>
    <w:qFormat/>
    <w:rsid w:val="001076E4"/>
    <w:pPr>
      <w:numPr>
        <w:ilvl w:val="1"/>
        <w:numId w:val="1"/>
      </w:numPr>
      <w:ind w:left="720" w:hanging="720"/>
      <w:outlineLvl w:val="1"/>
    </w:pPr>
  </w:style>
  <w:style w:type="paragraph" w:styleId="Heading3">
    <w:name w:val="heading 3"/>
    <w:basedOn w:val="Normal"/>
    <w:next w:val="Normal"/>
    <w:link w:val="Heading3Char"/>
    <w:qFormat/>
    <w:rsid w:val="001076E4"/>
    <w:pPr>
      <w:numPr>
        <w:ilvl w:val="2"/>
        <w:numId w:val="1"/>
      </w:numPr>
      <w:ind w:left="720" w:hanging="720"/>
      <w:outlineLvl w:val="2"/>
    </w:pPr>
  </w:style>
  <w:style w:type="paragraph" w:styleId="Heading4">
    <w:name w:val="heading 4"/>
    <w:basedOn w:val="Normal"/>
    <w:next w:val="Normal"/>
    <w:link w:val="Heading4Char"/>
    <w:qFormat/>
    <w:rsid w:val="001076E4"/>
    <w:pPr>
      <w:numPr>
        <w:ilvl w:val="3"/>
        <w:numId w:val="1"/>
      </w:numPr>
      <w:ind w:left="720" w:hanging="720"/>
      <w:outlineLvl w:val="3"/>
    </w:pPr>
  </w:style>
  <w:style w:type="paragraph" w:styleId="Heading5">
    <w:name w:val="heading 5"/>
    <w:basedOn w:val="Normal"/>
    <w:next w:val="Normal"/>
    <w:link w:val="Heading5Char"/>
    <w:qFormat/>
    <w:rsid w:val="001076E4"/>
    <w:pPr>
      <w:numPr>
        <w:ilvl w:val="4"/>
        <w:numId w:val="1"/>
      </w:numPr>
      <w:ind w:left="720" w:hanging="720"/>
      <w:outlineLvl w:val="4"/>
    </w:pPr>
  </w:style>
  <w:style w:type="paragraph" w:styleId="Heading6">
    <w:name w:val="heading 6"/>
    <w:basedOn w:val="Normal"/>
    <w:next w:val="Normal"/>
    <w:link w:val="Heading6Char"/>
    <w:qFormat/>
    <w:rsid w:val="001076E4"/>
    <w:pPr>
      <w:numPr>
        <w:ilvl w:val="5"/>
        <w:numId w:val="1"/>
      </w:numPr>
      <w:ind w:left="720" w:hanging="720"/>
      <w:outlineLvl w:val="5"/>
    </w:pPr>
  </w:style>
  <w:style w:type="paragraph" w:styleId="Heading7">
    <w:name w:val="heading 7"/>
    <w:basedOn w:val="Normal"/>
    <w:next w:val="Normal"/>
    <w:link w:val="Heading7Char"/>
    <w:qFormat/>
    <w:rsid w:val="001076E4"/>
    <w:pPr>
      <w:numPr>
        <w:ilvl w:val="6"/>
        <w:numId w:val="1"/>
      </w:numPr>
      <w:ind w:left="720" w:hanging="720"/>
      <w:outlineLvl w:val="6"/>
    </w:pPr>
  </w:style>
  <w:style w:type="paragraph" w:styleId="Heading8">
    <w:name w:val="heading 8"/>
    <w:basedOn w:val="Normal"/>
    <w:next w:val="Normal"/>
    <w:link w:val="Heading8Char"/>
    <w:qFormat/>
    <w:rsid w:val="001076E4"/>
    <w:pPr>
      <w:numPr>
        <w:ilvl w:val="7"/>
        <w:numId w:val="1"/>
      </w:numPr>
      <w:ind w:left="720" w:hanging="720"/>
      <w:outlineLvl w:val="7"/>
    </w:pPr>
  </w:style>
  <w:style w:type="paragraph" w:styleId="Heading9">
    <w:name w:val="heading 9"/>
    <w:basedOn w:val="Normal"/>
    <w:next w:val="Normal"/>
    <w:link w:val="Heading9Char"/>
    <w:qFormat/>
    <w:rsid w:val="001076E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lang w:val="en-GB" w:eastAsia="en-US"/>
    </w:rPr>
  </w:style>
  <w:style w:type="character" w:customStyle="1" w:styleId="Heading2Char">
    <w:name w:val="Heading 2 Char"/>
    <w:basedOn w:val="DefaultParagraphFont"/>
    <w:link w:val="Heading2"/>
    <w:rsid w:val="009D66A8"/>
    <w:rPr>
      <w:sz w:val="22"/>
      <w:lang w:val="en-GB" w:eastAsia="en-US"/>
    </w:rPr>
  </w:style>
  <w:style w:type="character" w:customStyle="1" w:styleId="Heading3Char">
    <w:name w:val="Heading 3 Char"/>
    <w:basedOn w:val="DefaultParagraphFont"/>
    <w:link w:val="Heading3"/>
    <w:rsid w:val="009D66A8"/>
    <w:rPr>
      <w:sz w:val="22"/>
      <w:lang w:val="en-GB" w:eastAsia="en-US"/>
    </w:rPr>
  </w:style>
  <w:style w:type="character" w:customStyle="1" w:styleId="Heading4Char">
    <w:name w:val="Heading 4 Char"/>
    <w:basedOn w:val="DefaultParagraphFont"/>
    <w:link w:val="Heading4"/>
    <w:rsid w:val="009D66A8"/>
    <w:rPr>
      <w:sz w:val="22"/>
      <w:lang w:val="en-GB" w:eastAsia="en-US"/>
    </w:rPr>
  </w:style>
  <w:style w:type="character" w:customStyle="1" w:styleId="Heading5Char">
    <w:name w:val="Heading 5 Char"/>
    <w:basedOn w:val="DefaultParagraphFont"/>
    <w:link w:val="Heading5"/>
    <w:rsid w:val="009D66A8"/>
    <w:rPr>
      <w:sz w:val="22"/>
      <w:lang w:val="en-GB" w:eastAsia="en-US"/>
    </w:rPr>
  </w:style>
  <w:style w:type="character" w:customStyle="1" w:styleId="Heading6Char">
    <w:name w:val="Heading 6 Char"/>
    <w:basedOn w:val="DefaultParagraphFont"/>
    <w:link w:val="Heading6"/>
    <w:rsid w:val="009D66A8"/>
    <w:rPr>
      <w:sz w:val="22"/>
      <w:lang w:val="en-GB" w:eastAsia="en-US"/>
    </w:rPr>
  </w:style>
  <w:style w:type="character" w:customStyle="1" w:styleId="Heading7Char">
    <w:name w:val="Heading 7 Char"/>
    <w:basedOn w:val="DefaultParagraphFont"/>
    <w:link w:val="Heading7"/>
    <w:rsid w:val="009D66A8"/>
    <w:rPr>
      <w:sz w:val="22"/>
      <w:lang w:val="en-GB" w:eastAsia="en-US"/>
    </w:rPr>
  </w:style>
  <w:style w:type="character" w:customStyle="1" w:styleId="Heading8Char">
    <w:name w:val="Heading 8 Char"/>
    <w:basedOn w:val="DefaultParagraphFont"/>
    <w:link w:val="Heading8"/>
    <w:rsid w:val="009D66A8"/>
    <w:rPr>
      <w:sz w:val="22"/>
      <w:lang w:val="en-GB" w:eastAsia="en-US"/>
    </w:rPr>
  </w:style>
  <w:style w:type="character" w:customStyle="1" w:styleId="Heading9Char">
    <w:name w:val="Heading 9 Char"/>
    <w:basedOn w:val="DefaultParagraphFont"/>
    <w:link w:val="Heading9"/>
    <w:rsid w:val="009D66A8"/>
    <w:rPr>
      <w:sz w:val="22"/>
      <w:lang w:val="en-GB" w:eastAsia="en-US"/>
    </w:rPr>
  </w:style>
  <w:style w:type="paragraph" w:styleId="Footer">
    <w:name w:val="footer"/>
    <w:basedOn w:val="Normal"/>
    <w:link w:val="FooterChar"/>
    <w:rsid w:val="001076E4"/>
  </w:style>
  <w:style w:type="character" w:customStyle="1" w:styleId="FooterChar">
    <w:name w:val="Footer Char"/>
    <w:basedOn w:val="DefaultParagraphFont"/>
    <w:link w:val="Footer"/>
    <w:rsid w:val="009D66A8"/>
    <w:rPr>
      <w:sz w:val="22"/>
      <w:lang w:val="en-GB" w:eastAsia="en-US"/>
    </w:rPr>
  </w:style>
  <w:style w:type="paragraph" w:styleId="FootnoteText">
    <w:name w:val="footnote text"/>
    <w:basedOn w:val="Normal"/>
    <w:link w:val="FootnoteTextChar"/>
    <w:rsid w:val="001076E4"/>
    <w:pPr>
      <w:keepLines/>
      <w:spacing w:after="60" w:line="240" w:lineRule="auto"/>
      <w:ind w:left="720" w:hanging="720"/>
    </w:pPr>
    <w:rPr>
      <w:sz w:val="16"/>
    </w:rPr>
  </w:style>
  <w:style w:type="character" w:customStyle="1" w:styleId="FootnoteTextChar">
    <w:name w:val="Footnote Text Char"/>
    <w:basedOn w:val="DefaultParagraphFont"/>
    <w:link w:val="FootnoteText"/>
    <w:rsid w:val="009D66A8"/>
    <w:rPr>
      <w:sz w:val="16"/>
      <w:lang w:val="en-GB" w:eastAsia="en-US"/>
    </w:rPr>
  </w:style>
  <w:style w:type="paragraph" w:styleId="Header">
    <w:name w:val="header"/>
    <w:basedOn w:val="Normal"/>
    <w:link w:val="HeaderChar"/>
    <w:rsid w:val="001076E4"/>
  </w:style>
  <w:style w:type="character" w:customStyle="1" w:styleId="HeaderChar">
    <w:name w:val="Header Char"/>
    <w:basedOn w:val="DefaultParagraphFont"/>
    <w:link w:val="Header"/>
    <w:rsid w:val="009D66A8"/>
    <w:rPr>
      <w:sz w:val="22"/>
      <w:lang w:val="en-GB" w:eastAsia="en-US"/>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sid w:val="001076E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7931">
      <w:bodyDiv w:val="1"/>
      <w:marLeft w:val="0"/>
      <w:marRight w:val="0"/>
      <w:marTop w:val="0"/>
      <w:marBottom w:val="0"/>
      <w:divBdr>
        <w:top w:val="none" w:sz="0" w:space="0" w:color="auto"/>
        <w:left w:val="none" w:sz="0" w:space="0" w:color="auto"/>
        <w:bottom w:val="none" w:sz="0" w:space="0" w:color="auto"/>
        <w:right w:val="none" w:sz="0" w:space="0" w:color="auto"/>
      </w:divBdr>
    </w:div>
    <w:div w:id="1120491403">
      <w:bodyDiv w:val="1"/>
      <w:marLeft w:val="0"/>
      <w:marRight w:val="0"/>
      <w:marTop w:val="0"/>
      <w:marBottom w:val="0"/>
      <w:divBdr>
        <w:top w:val="none" w:sz="0" w:space="0" w:color="auto"/>
        <w:left w:val="none" w:sz="0" w:space="0" w:color="auto"/>
        <w:bottom w:val="none" w:sz="0" w:space="0" w:color="auto"/>
        <w:right w:val="none" w:sz="0" w:space="0" w:color="auto"/>
      </w:divBdr>
    </w:div>
    <w:div w:id="19497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europa.e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cor.europa.eu"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toad.cor.europa.eu/CORHelp.aspx"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cor.europa.eu/members"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OJ:C:2011:01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ed70e30-93ef-45b4-8939-ee55f442fbe8">32DPXCYX3S74-8-4024</_dlc_DocId>
    <_dlc_DocIdUrl xmlns="bed70e30-93ef-45b4-8939-ee55f442fbe8">
      <Url>http://dm/CoR/2015/_layouts/DocIdRedir.aspx?ID=32DPXCYX3S74-8-4024</Url>
      <Description>32DPXCYX3S74-8-4024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Procedure xmlns="bed70e30-93ef-45b4-8939-ee55f442fbe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bed70e30-93ef-45b4-8939-ee55f442fbe8">2015-11-16T12:00:00+00:00</ProductionDate>
    <DocumentNumber xmlns="54ce4e8c-70ab-4ab4-9e3e-7385597c8f08">4287</DocumentNumber>
    <FicheYear xmlns="bed70e30-93ef-45b4-8939-ee55f442fbe8">2015</FicheYear>
    <DocumentVersion xmlns="bed70e30-93ef-45b4-8939-ee55f442fbe8">0</DocumentVersion>
    <DossierNumber xmlns="bed70e30-93ef-45b4-8939-ee55f442fbe8">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ed70e30-93ef-45b4-8939-ee55f442fbe8">2015-12-11T12:00:00+00:00</MeetingDate>
    <TaxCatchAll xmlns="bed70e30-93ef-45b4-8939-ee55f442fbe8">
      <Value>43</Value>
      <Value>35</Value>
      <Value>34</Value>
      <Value>33</Value>
      <Value>32</Value>
      <Value>31</Value>
      <Value>30</Value>
      <Value>29</Value>
      <Value>63</Value>
      <Value>27</Value>
      <Value>26</Value>
      <Value>25</Value>
      <Value>24</Value>
      <Value>23</Value>
      <Value>22</Value>
      <Value>21</Value>
      <Value>20</Value>
      <Value>19</Value>
      <Value>18</Value>
      <Value>17</Value>
      <Value>16</Value>
      <Value>15</Value>
      <Value>7</Value>
      <Value>10</Value>
      <Value>56</Value>
      <Value>51</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bed70e30-93ef-45b4-8939-ee55f442fbe8">MARINI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bed70e30-93ef-45b4-8939-ee55f442fbe8">11035</FicheNumber>
    <DocumentYear xmlns="bed70e30-93ef-45b4-8939-ee55f442fbe8">2015</DocumentYear>
    <AdoptionDate xmlns="bed70e30-93ef-45b4-8939-ee55f442fbe8" xsi:nil="true"/>
    <DocumentPart xmlns="bed70e30-93ef-45b4-8939-ee55f442fbe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3552edab-c1b7-4b35-80b1-c9e901d8cd86</TermId>
        </TermInfo>
      </Terms>
    </MeetingName_0>
    <RequestingService xmlns="bed70e30-93ef-45b4-8939-ee55f442fbe8">Commission COTER/BUDG</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MeetingNumber xmlns="54ce4e8c-70ab-4ab4-9e3e-7385597c8f08">6</Meeting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6CA1-4A0B-4E2F-9728-D5B54CF30F69}">
  <ds:schemaRefs>
    <ds:schemaRef ds:uri="http://schemas.microsoft.com/sharepoint/v3/contenttype/forms"/>
  </ds:schemaRefs>
</ds:datastoreItem>
</file>

<file path=customXml/itemProps2.xml><?xml version="1.0" encoding="utf-8"?>
<ds:datastoreItem xmlns:ds="http://schemas.openxmlformats.org/officeDocument/2006/customXml" ds:itemID="{63C8BDD9-A56E-4702-8DE4-6C647DA3E37E}">
  <ds:schemaRefs>
    <ds:schemaRef ds:uri="http://schemas.microsoft.com/sharepoint/events"/>
  </ds:schemaRefs>
</ds:datastoreItem>
</file>

<file path=customXml/itemProps3.xml><?xml version="1.0" encoding="utf-8"?>
<ds:datastoreItem xmlns:ds="http://schemas.openxmlformats.org/officeDocument/2006/customXml" ds:itemID="{79333F10-AE10-4D7F-A3FD-647B6E793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54ce4e8c-70ab-4ab4-9e3e-7385597c8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37025-44D5-4895-BCD7-DD316C967FAA}">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54ce4e8c-70ab-4ab4-9e3e-7385597c8f08"/>
    <ds:schemaRef ds:uri="http://schemas.microsoft.com/sharepoint/v3/fields"/>
    <ds:schemaRef ds:uri="bed70e30-93ef-45b4-8939-ee55f442fbe8"/>
  </ds:schemaRefs>
</ds:datastoreItem>
</file>

<file path=customXml/itemProps5.xml><?xml version="1.0" encoding="utf-8"?>
<ds:datastoreItem xmlns:ds="http://schemas.openxmlformats.org/officeDocument/2006/customXml" ds:itemID="{1CEA0987-D888-4859-A0EF-CE8030B2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2513</Words>
  <Characters>14327</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Indicators for territorial development – GDP and beyond</vt:lpstr>
      <vt:lpstr>CoR PA model</vt:lpstr>
    </vt:vector>
  </TitlesOfParts>
  <Company>CESE-CdR</Company>
  <LinksUpToDate>false</LinksUpToDate>
  <CharactersWithSpaces>16807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Indicators for territorial development – GDP and beyond</dc:title>
  <dc:subject>Draft opinion</dc:subject>
  <dc:creator>Emma Nieddu</dc:creator>
  <cp:keywords>COR-2015-04287-00-00-PA-TRA-EN</cp:keywords>
  <dc:description>Rapporteur: - MARINI Original language: - EN Date of document: - 16/11/2015 Date of meeting: - 11/12/2015 External documents: -  Administrator responsible: -  HEIDEN OLIVER, telephone:  2 282 2405</dc:description>
  <cp:lastModifiedBy>Livia Menichetti</cp:lastModifiedBy>
  <cp:revision>2</cp:revision>
  <cp:lastPrinted>2015-10-21T14:06:00Z</cp:lastPrinted>
  <dcterms:created xsi:type="dcterms:W3CDTF">2015-11-25T11:32:00Z</dcterms:created>
  <dcterms:modified xsi:type="dcterms:W3CDTF">2015-11-25T11:32:00Z</dcterms:modified>
  <cp:category>COTER-VI/9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0x010100EA97B91038054C99906057A708A1480A0000ACB3A31870A141B3A5990D964A61BB</vt:lpwstr>
  </property>
  <property fmtid="{D5CDD505-2E9C-101B-9397-08002B2CF9AE}" pid="7" name="StyleCheckSum">
    <vt:lpwstr>45307_C16739_P194_L45</vt:lpwstr>
  </property>
  <property fmtid="{D5CDD505-2E9C-101B-9397-08002B2CF9AE}" pid="8" name="Pref_formatted">
    <vt:bool>true</vt:bool>
  </property>
  <property fmtid="{D5CDD505-2E9C-101B-9397-08002B2CF9AE}" pid="9" name="Pref_Date">
    <vt:lpwstr>16/11/2015, 16/11/2015</vt:lpwstr>
  </property>
  <property fmtid="{D5CDD505-2E9C-101B-9397-08002B2CF9AE}" pid="10" name="Pref_Time">
    <vt:lpwstr>13:48:57, 12:25:42</vt:lpwstr>
  </property>
  <property fmtid="{D5CDD505-2E9C-101B-9397-08002B2CF9AE}" pid="11" name="Pref_User">
    <vt:lpwstr>enied, htoo</vt:lpwstr>
  </property>
  <property fmtid="{D5CDD505-2E9C-101B-9397-08002B2CF9AE}" pid="12" name="Pref_FileName">
    <vt:lpwstr>COR-2015-04287-00-00-PA-TRA-EN-CRR.docx, COR-2015-04287-00-00-PA-CRR-EN.docx</vt:lpwstr>
  </property>
  <property fmtid="{D5CDD505-2E9C-101B-9397-08002B2CF9AE}" pid="13" name="_dlc_DocIdItemGuid">
    <vt:lpwstr>2c33716c-5c3e-4547-acc5-1f05d6974a73</vt:lpwstr>
  </property>
  <property fmtid="{D5CDD505-2E9C-101B-9397-08002B2CF9AE}" pid="14" name="MeetingNumber">
    <vt:i4>6</vt:i4>
  </property>
  <property fmtid="{D5CDD505-2E9C-101B-9397-08002B2CF9AE}" pid="15" name="DocumentType_0">
    <vt:lpwstr>PA|ef6fd07e-7d84-45ad-8a75-9a9414a8759c</vt:lpwstr>
  </property>
  <property fmtid="{D5CDD505-2E9C-101B-9397-08002B2CF9AE}" pid="16" name="AvailableTranslations">
    <vt:lpwstr>15;#IT|0774613c-01ed-4e5d-a25d-11d2388de825;#21;#SL|98a412ae-eb01-49e9-ae3d-585a81724cfc;#10;#EN|f2175f21-25d7-44a3-96da-d6a61b075e1b;#4;#DE|f6b31e5a-26fa-4935-b661-318e46daf27e;#35;#HU|6b229040-c589-4408-b4c1-4285663d20a8;#23;#BG|1a1b3951-7821-4e6a-85f5-</vt:lpwstr>
  </property>
  <property fmtid="{D5CDD505-2E9C-101B-9397-08002B2CF9AE}" pid="17" name="DossierName_0">
    <vt:lpwstr>COTER-VI|83557551-cb0a-4a30-8de1-bd4ab4e4cffd</vt:lpwstr>
  </property>
  <property fmtid="{D5CDD505-2E9C-101B-9397-08002B2CF9AE}" pid="18" name="DocumentSource_0">
    <vt:lpwstr>CoR|cb2d75ef-4a7d-4393-b797-49ed6298a5ea</vt:lpwstr>
  </property>
  <property fmtid="{D5CDD505-2E9C-101B-9397-08002B2CF9AE}" pid="19" name="FicheYear">
    <vt:i4>2015</vt:i4>
  </property>
  <property fmtid="{D5CDD505-2E9C-101B-9397-08002B2CF9AE}" pid="20" name="DocumentNumber">
    <vt:i4>4287</vt:i4>
  </property>
  <property fmtid="{D5CDD505-2E9C-101B-9397-08002B2CF9AE}" pid="21" name="DocumentVersion">
    <vt:i4>0</vt:i4>
  </property>
  <property fmtid="{D5CDD505-2E9C-101B-9397-08002B2CF9AE}" pid="22" name="DossierNumber">
    <vt:i4>9</vt:i4>
  </property>
  <property fmtid="{D5CDD505-2E9C-101B-9397-08002B2CF9AE}" pid="23" name="DocumentStatus">
    <vt:lpwstr>2;#TRA|150d2a88-1431-44e6-a8ca-0bb753ab8672</vt:lpwstr>
  </property>
  <property fmtid="{D5CDD505-2E9C-101B-9397-08002B2CF9AE}" pid="24" name="DossierName">
    <vt:lpwstr>56;#COTER-VI|83557551-cb0a-4a30-8de1-bd4ab4e4cffd</vt:lpwstr>
  </property>
  <property fmtid="{D5CDD505-2E9C-101B-9397-08002B2CF9AE}" pid="25" name="RequestingService">
    <vt:lpwstr>Commission COTER/BUDG</vt:lpwstr>
  </property>
  <property fmtid="{D5CDD505-2E9C-101B-9397-08002B2CF9AE}" pid="26" name="Confidentiality">
    <vt:lpwstr>5;#Unrestricted|826e22d7-d029-4ec0-a450-0c28ff673572</vt:lpwstr>
  </property>
  <property fmtid="{D5CDD505-2E9C-101B-9397-08002B2CF9AE}" pid="27" name="Confidentiality_0">
    <vt:lpwstr>Unrestricted|826e22d7-d029-4ec0-a450-0c28ff673572</vt:lpwstr>
  </property>
  <property fmtid="{D5CDD505-2E9C-101B-9397-08002B2CF9AE}" pid="28" name="MeetingName_0">
    <vt:lpwstr>COTER-VI|3552edab-c1b7-4b35-80b1-c9e901d8cd86</vt:lpwstr>
  </property>
  <property fmtid="{D5CDD505-2E9C-101B-9397-08002B2CF9AE}" pid="29" name="OriginalLanguage">
    <vt:lpwstr>10;#EN|f2175f21-25d7-44a3-96da-d6a61b075e1b</vt:lpwstr>
  </property>
  <property fmtid="{D5CDD505-2E9C-101B-9397-08002B2CF9AE}" pid="30" name="MeetingName">
    <vt:lpwstr>43;#COTER-VI|3552edab-c1b7-4b35-80b1-c9e901d8cd86</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MeetingDate">
    <vt:filetime>2015-12-11T12:00:00Z</vt:filetime>
  </property>
  <property fmtid="{D5CDD505-2E9C-101B-9397-08002B2CF9AE}" pid="34" name="TaxCatchAll">
    <vt:lpwstr>43;#COTER-VI|3552edab-c1b7-4b35-80b1-c9e901d8cd86;#63;#Final|ea5e6674-7b27-4bac-b091-73adbb394efe;#56;#COTER-VI|83557551-cb0a-4a30-8de1-bd4ab4e4cffd;#10;#EN|f2175f21-25d7-44a3-96da-d6a61b075e1b;#51;#PA|ef6fd07e-7d84-45ad-8a75-9a9414a8759c;#5;#Unrestricted</vt:lpwstr>
  </property>
  <property fmtid="{D5CDD505-2E9C-101B-9397-08002B2CF9AE}" pid="35" name="AvailableTranslations_0">
    <vt:lpwstr/>
  </property>
  <property fmtid="{D5CDD505-2E9C-101B-9397-08002B2CF9AE}" pid="36" name="VersionStatus">
    <vt:lpwstr>63;#Final|ea5e6674-7b27-4bac-b091-73adbb394efe</vt:lpwstr>
  </property>
  <property fmtid="{D5CDD505-2E9C-101B-9397-08002B2CF9AE}" pid="37" name="Rapporteur">
    <vt:lpwstr>MARINI</vt:lpwstr>
  </property>
  <property fmtid="{D5CDD505-2E9C-101B-9397-08002B2CF9AE}" pid="38" name="VersionStatus_0">
    <vt:lpwstr>Final|ea5e6674-7b27-4bac-b091-73adbb394efe</vt:lpwstr>
  </property>
  <property fmtid="{D5CDD505-2E9C-101B-9397-08002B2CF9AE}" pid="39" name="FicheNumber">
    <vt:i4>11035</vt:i4>
  </property>
  <property fmtid="{D5CDD505-2E9C-101B-9397-08002B2CF9AE}" pid="40" name="DocumentYear">
    <vt:i4>2015</vt:i4>
  </property>
  <property fmtid="{D5CDD505-2E9C-101B-9397-08002B2CF9AE}" pid="41" name="DocumentType">
    <vt:lpwstr>51;#PA|ef6fd07e-7d84-45ad-8a75-9a9414a8759c</vt:lpwstr>
  </property>
  <property fmtid="{D5CDD505-2E9C-101B-9397-08002B2CF9AE}" pid="42" name="DocumentSource">
    <vt:lpwstr>1;#CoR|cb2d75ef-4a7d-4393-b797-49ed6298a5ea</vt:lpwstr>
  </property>
  <property fmtid="{D5CDD505-2E9C-101B-9397-08002B2CF9AE}" pid="43" name="DocumentPart">
    <vt:i4>0</vt:i4>
  </property>
  <property fmtid="{D5CDD505-2E9C-101B-9397-08002B2CF9AE}" pid="44" name="DocumentLanguage">
    <vt:lpwstr>10;#EN|f2175f21-25d7-44a3-96da-d6a61b075e1b</vt:lpwstr>
  </property>
</Properties>
</file>